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FD" w:rsidRPr="00677C88" w:rsidRDefault="00677C88" w:rsidP="005D48DA">
      <w:pPr>
        <w:jc w:val="center"/>
        <w:rPr>
          <w:b/>
          <w:lang w:val="fr-CA"/>
        </w:rPr>
      </w:pPr>
      <w:r w:rsidRPr="00677C88">
        <w:rPr>
          <w:b/>
          <w:lang w:val="fr-CA"/>
        </w:rPr>
        <w:t xml:space="preserve">FORMULAIRE DE COMMENTAIRES POUR LA CONSULTATION </w:t>
      </w:r>
      <w:r w:rsidR="00C516B9" w:rsidRPr="00677C88">
        <w:rPr>
          <w:b/>
          <w:lang w:val="fr-CA"/>
        </w:rPr>
        <w:t>PUBLI</w:t>
      </w:r>
      <w:r w:rsidR="00F47D6E">
        <w:rPr>
          <w:b/>
          <w:lang w:val="fr-CA"/>
        </w:rPr>
        <w:t>QUE</w:t>
      </w:r>
      <w:r w:rsidR="00C516B9" w:rsidRPr="00677C88">
        <w:rPr>
          <w:b/>
          <w:lang w:val="fr-CA"/>
        </w:rPr>
        <w:t xml:space="preserve"> </w:t>
      </w:r>
    </w:p>
    <w:p w:rsidR="001E7079" w:rsidRPr="00677C88" w:rsidRDefault="00677C88" w:rsidP="001E7079">
      <w:pPr>
        <w:spacing w:after="0" w:line="240" w:lineRule="auto"/>
        <w:jc w:val="center"/>
        <w:rPr>
          <w:b/>
          <w:lang w:val="fr-CA"/>
        </w:rPr>
      </w:pPr>
      <w:r w:rsidRPr="00677C88">
        <w:rPr>
          <w:b/>
          <w:lang w:val="fr-CA"/>
        </w:rPr>
        <w:t xml:space="preserve">Rapport sur les conclusions et les recommandations du groupe d’experts </w:t>
      </w:r>
      <w:r>
        <w:rPr>
          <w:b/>
          <w:lang w:val="fr-CA"/>
        </w:rPr>
        <w:t xml:space="preserve">en </w:t>
      </w:r>
      <w:r w:rsidRPr="00677C88">
        <w:rPr>
          <w:b/>
          <w:lang w:val="fr-CA"/>
        </w:rPr>
        <w:t>pr</w:t>
      </w:r>
      <w:r>
        <w:rPr>
          <w:b/>
          <w:lang w:val="fr-CA"/>
        </w:rPr>
        <w:t>êts sur salaire</w:t>
      </w:r>
    </w:p>
    <w:p w:rsidR="00C57973" w:rsidRPr="00677C88" w:rsidRDefault="00C57973" w:rsidP="0027163B">
      <w:pPr>
        <w:spacing w:after="120" w:line="240" w:lineRule="auto"/>
        <w:jc w:val="center"/>
        <w:rPr>
          <w:lang w:val="fr-CA"/>
        </w:rPr>
      </w:pPr>
    </w:p>
    <w:p w:rsidR="00C57973" w:rsidRPr="00282FBB" w:rsidRDefault="00677C88" w:rsidP="005D48DA">
      <w:pPr>
        <w:spacing w:after="120" w:line="240" w:lineRule="auto"/>
        <w:rPr>
          <w:lang w:val="fr-CA"/>
        </w:rPr>
      </w:pPr>
      <w:r w:rsidRPr="00677C88">
        <w:rPr>
          <w:lang w:val="fr-CA"/>
        </w:rPr>
        <w:t>Votre opinion et vos commentaires sont importants.</w:t>
      </w:r>
      <w:r w:rsidR="007C0299" w:rsidRPr="00677C88">
        <w:rPr>
          <w:lang w:val="fr-CA"/>
        </w:rPr>
        <w:t xml:space="preserve"> </w:t>
      </w:r>
      <w:r w:rsidRPr="00677C88">
        <w:rPr>
          <w:lang w:val="fr-CA"/>
        </w:rPr>
        <w:t xml:space="preserve">Le ministère des Services gouvernementaux et des Services aux consommateurs aimerait </w:t>
      </w:r>
      <w:r w:rsidR="001542FA">
        <w:rPr>
          <w:lang w:val="fr-CA"/>
        </w:rPr>
        <w:t xml:space="preserve">connaître </w:t>
      </w:r>
      <w:r w:rsidRPr="00677C88">
        <w:rPr>
          <w:lang w:val="fr-CA"/>
        </w:rPr>
        <w:t xml:space="preserve">vos commentaires sur les recommandations que contient le Rapport sur les conclusions et les recommandations du groupe d’experts </w:t>
      </w:r>
      <w:r>
        <w:rPr>
          <w:lang w:val="fr-CA"/>
        </w:rPr>
        <w:t xml:space="preserve">en prêts sur salaire. </w:t>
      </w:r>
      <w:r w:rsidRPr="00677C88">
        <w:rPr>
          <w:lang w:val="fr-CA"/>
        </w:rPr>
        <w:t xml:space="preserve">Les recommandations visent à mieux protéger les consommateurs qui ont recours ou </w:t>
      </w:r>
      <w:r w:rsidR="00A91E02">
        <w:rPr>
          <w:lang w:val="fr-CA"/>
        </w:rPr>
        <w:t xml:space="preserve">envisagent de </w:t>
      </w:r>
      <w:r w:rsidRPr="00677C88">
        <w:rPr>
          <w:lang w:val="fr-CA"/>
        </w:rPr>
        <w:t>recourir aux pr</w:t>
      </w:r>
      <w:r>
        <w:rPr>
          <w:lang w:val="fr-CA"/>
        </w:rPr>
        <w:t xml:space="preserve">êts sur salaire. </w:t>
      </w:r>
    </w:p>
    <w:p w:rsidR="00C516B9" w:rsidRPr="00282FBB" w:rsidRDefault="00677C88" w:rsidP="005D48DA">
      <w:pPr>
        <w:spacing w:after="120" w:line="240" w:lineRule="auto"/>
        <w:rPr>
          <w:lang w:val="fr-CA"/>
        </w:rPr>
      </w:pPr>
      <w:r w:rsidRPr="00282FBB">
        <w:rPr>
          <w:lang w:val="fr-CA"/>
        </w:rPr>
        <w:t xml:space="preserve">Veuillez </w:t>
      </w:r>
      <w:r w:rsidR="00282FBB" w:rsidRPr="00282FBB">
        <w:rPr>
          <w:lang w:val="fr-CA"/>
        </w:rPr>
        <w:t xml:space="preserve">envoyer vos commentaires généraux ou vos suggestions concernant des recommandations spécifiques mentionnées dans le document de consultation affiché sur le Registre de </w:t>
      </w:r>
      <w:r w:rsidR="001542FA">
        <w:rPr>
          <w:lang w:val="fr-CA"/>
        </w:rPr>
        <w:t xml:space="preserve">la </w:t>
      </w:r>
      <w:r w:rsidR="00282FBB" w:rsidRPr="00282FBB">
        <w:rPr>
          <w:lang w:val="fr-CA"/>
        </w:rPr>
        <w:t>r</w:t>
      </w:r>
      <w:r w:rsidR="00282FBB">
        <w:rPr>
          <w:lang w:val="fr-CA"/>
        </w:rPr>
        <w:t xml:space="preserve">èglementation à </w:t>
      </w:r>
      <w:hyperlink r:id="rId6" w:history="1">
        <w:r w:rsidR="002471CB" w:rsidRPr="00282FBB">
          <w:rPr>
            <w:rStyle w:val="Hyperlink"/>
            <w:lang w:val="fr-CA"/>
          </w:rPr>
          <w:t>http://www.ontariocanada.com/registry/</w:t>
        </w:r>
      </w:hyperlink>
      <w:r w:rsidR="002471CB" w:rsidRPr="00282FBB">
        <w:rPr>
          <w:lang w:val="fr-CA"/>
        </w:rPr>
        <w:t xml:space="preserve"> </w:t>
      </w:r>
      <w:r w:rsidR="00C57973" w:rsidRPr="00282FBB">
        <w:rPr>
          <w:lang w:val="fr-CA"/>
        </w:rPr>
        <w:t>.</w:t>
      </w:r>
    </w:p>
    <w:p w:rsidR="00C516B9" w:rsidRPr="00282FBB" w:rsidRDefault="00282FBB" w:rsidP="005D48DA">
      <w:pPr>
        <w:spacing w:after="120" w:line="240" w:lineRule="auto"/>
        <w:rPr>
          <w:lang w:val="fr-CA"/>
        </w:rPr>
      </w:pPr>
      <w:r w:rsidRPr="00282FBB">
        <w:rPr>
          <w:lang w:val="fr-CA"/>
        </w:rPr>
        <w:t xml:space="preserve">Vous pouvez également utiliser le présent formulaire pour </w:t>
      </w:r>
      <w:r w:rsidR="001542FA">
        <w:rPr>
          <w:lang w:val="fr-CA"/>
        </w:rPr>
        <w:t xml:space="preserve">présenter </w:t>
      </w:r>
      <w:r w:rsidRPr="00282FBB">
        <w:rPr>
          <w:lang w:val="fr-CA"/>
        </w:rPr>
        <w:t xml:space="preserve">vos commentaires. </w:t>
      </w:r>
      <w:r>
        <w:rPr>
          <w:lang w:val="fr-CA"/>
        </w:rPr>
        <w:t xml:space="preserve">Veuillez sauvegarder et envoyer </w:t>
      </w:r>
      <w:r w:rsidR="001542FA">
        <w:rPr>
          <w:lang w:val="fr-CA"/>
        </w:rPr>
        <w:t xml:space="preserve">par courriel </w:t>
      </w:r>
      <w:r>
        <w:rPr>
          <w:lang w:val="fr-CA"/>
        </w:rPr>
        <w:t xml:space="preserve">votre formulaire dûment rempli au ministère des Services gouvernementaux et des Services aux consommateurs à </w:t>
      </w:r>
      <w:hyperlink r:id="rId7" w:history="1">
        <w:r w:rsidR="00C57973" w:rsidRPr="00282FBB">
          <w:rPr>
            <w:rStyle w:val="Hyperlink"/>
            <w:lang w:val="fr-CA"/>
          </w:rPr>
          <w:t>consumerpolicy@ontario.ca</w:t>
        </w:r>
      </w:hyperlink>
      <w:r w:rsidR="00C516B9" w:rsidRPr="00282FBB">
        <w:rPr>
          <w:lang w:val="fr-CA"/>
        </w:rPr>
        <w:t>.</w:t>
      </w:r>
      <w:r w:rsidR="00B131F6" w:rsidRPr="00282FBB">
        <w:rPr>
          <w:lang w:val="fr-CA"/>
        </w:rPr>
        <w:t xml:space="preserve"> </w:t>
      </w:r>
      <w:r w:rsidR="00F53C7C" w:rsidRPr="00282FBB">
        <w:rPr>
          <w:lang w:val="fr-CA"/>
        </w:rPr>
        <w:t xml:space="preserve"> </w:t>
      </w:r>
      <w:r w:rsidR="001542FA">
        <w:rPr>
          <w:lang w:val="fr-CA"/>
        </w:rPr>
        <w:t>L</w:t>
      </w:r>
      <w:r>
        <w:rPr>
          <w:lang w:val="fr-CA"/>
        </w:rPr>
        <w:t xml:space="preserve">es commentaires </w:t>
      </w:r>
      <w:r w:rsidR="001542FA">
        <w:rPr>
          <w:lang w:val="fr-CA"/>
        </w:rPr>
        <w:t xml:space="preserve">doivent nous parvenir au plus tard </w:t>
      </w:r>
      <w:r>
        <w:rPr>
          <w:lang w:val="fr-CA"/>
        </w:rPr>
        <w:t xml:space="preserve">le </w:t>
      </w:r>
      <w:r w:rsidR="00A20F17">
        <w:rPr>
          <w:lang w:val="fr-CA"/>
        </w:rPr>
        <w:t>2 février</w:t>
      </w:r>
      <w:r>
        <w:rPr>
          <w:lang w:val="fr-CA"/>
        </w:rPr>
        <w:t xml:space="preserve"> 201</w:t>
      </w:r>
      <w:r w:rsidR="00A20F17">
        <w:rPr>
          <w:lang w:val="fr-CA"/>
        </w:rPr>
        <w:t>5</w:t>
      </w:r>
      <w:r>
        <w:rPr>
          <w:lang w:val="fr-CA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70"/>
        <w:gridCol w:w="2970"/>
        <w:gridCol w:w="270"/>
        <w:gridCol w:w="4068"/>
      </w:tblGrid>
      <w:tr w:rsidR="00F53C7C" w:rsidTr="00F53C7C">
        <w:tc>
          <w:tcPr>
            <w:tcW w:w="3438" w:type="dxa"/>
            <w:tcBorders>
              <w:right w:val="nil"/>
            </w:tcBorders>
          </w:tcPr>
          <w:p w:rsidR="00F53C7C" w:rsidRPr="00F47D6E" w:rsidRDefault="00737723" w:rsidP="00317B22">
            <w:pPr>
              <w:rPr>
                <w:lang w:val="fr-CA"/>
              </w:rPr>
            </w:pPr>
            <w:r w:rsidRPr="00737723">
              <w:rPr>
                <w:lang w:val="fr-CA"/>
              </w:rPr>
              <w:t>Vos coordonnées.</w:t>
            </w:r>
            <w:r w:rsidR="00463500" w:rsidRPr="0073772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Veuillez inscrire </w:t>
            </w:r>
            <w:proofErr w:type="gramStart"/>
            <w:r>
              <w:rPr>
                <w:lang w:val="fr-CA"/>
              </w:rPr>
              <w:t>vo</w:t>
            </w:r>
            <w:r w:rsidR="00A91E02">
              <w:rPr>
                <w:lang w:val="fr-CA"/>
              </w:rPr>
              <w:t>s</w:t>
            </w:r>
            <w:r>
              <w:rPr>
                <w:lang w:val="fr-CA"/>
              </w:rPr>
              <w:t xml:space="preserve"> nom</w:t>
            </w:r>
            <w:proofErr w:type="gramEnd"/>
            <w:r>
              <w:rPr>
                <w:lang w:val="fr-CA"/>
              </w:rPr>
              <w:t xml:space="preserve">, titre et le nom et l’adresse </w:t>
            </w:r>
            <w:r w:rsidR="00F47D6E">
              <w:rPr>
                <w:lang w:val="fr-CA"/>
              </w:rPr>
              <w:t xml:space="preserve">au complet </w:t>
            </w:r>
            <w:r>
              <w:rPr>
                <w:lang w:val="fr-CA"/>
              </w:rPr>
              <w:t xml:space="preserve">de votre organisme si vous envoyez des commentaires au nom d’un organisme. </w:t>
            </w:r>
          </w:p>
          <w:p w:rsidR="002471CB" w:rsidRPr="0085669F" w:rsidRDefault="002471CB" w:rsidP="002471CB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</w:t>
            </w:r>
            <w:proofErr w:type="spellStart"/>
            <w:r>
              <w:rPr>
                <w:i/>
                <w:color w:val="7F7F7F" w:themeColor="text1" w:themeTint="80"/>
              </w:rPr>
              <w:t>in</w:t>
            </w:r>
            <w:r w:rsidR="00A91E02">
              <w:rPr>
                <w:i/>
                <w:color w:val="7F7F7F" w:themeColor="text1" w:themeTint="80"/>
              </w:rPr>
              <w:t>sérez</w:t>
            </w:r>
            <w:proofErr w:type="spellEnd"/>
            <w:r w:rsidR="00737723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737723">
              <w:rPr>
                <w:i/>
                <w:color w:val="7F7F7F" w:themeColor="text1" w:themeTint="80"/>
              </w:rPr>
              <w:t>vos</w:t>
            </w:r>
            <w:proofErr w:type="spellEnd"/>
            <w:r w:rsidR="00737723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737723">
              <w:rPr>
                <w:i/>
                <w:color w:val="7F7F7F" w:themeColor="text1" w:themeTint="80"/>
              </w:rPr>
              <w:t>coordonnées</w:t>
            </w:r>
            <w:proofErr w:type="spellEnd"/>
            <w:r w:rsidRPr="003F3188">
              <w:rPr>
                <w:i/>
                <w:color w:val="7F7F7F" w:themeColor="text1" w:themeTint="80"/>
              </w:rPr>
              <w:t>)</w:t>
            </w:r>
          </w:p>
          <w:p w:rsidR="00F53C7C" w:rsidRDefault="00F53C7C" w:rsidP="00317B22"/>
          <w:p w:rsidR="00F53C7C" w:rsidRDefault="00F53C7C" w:rsidP="00317B22"/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F53C7C" w:rsidRDefault="00F53C7C" w:rsidP="00A4628F">
            <w:pPr>
              <w:tabs>
                <w:tab w:val="left" w:pos="638"/>
              </w:tabs>
            </w:pPr>
          </w:p>
        </w:tc>
        <w:tc>
          <w:tcPr>
            <w:tcW w:w="4338" w:type="dxa"/>
            <w:gridSpan w:val="2"/>
            <w:tcBorders>
              <w:left w:val="nil"/>
            </w:tcBorders>
          </w:tcPr>
          <w:p w:rsidR="00F53C7C" w:rsidRDefault="00F53C7C"/>
        </w:tc>
      </w:tr>
      <w:tr w:rsidR="00317B22" w:rsidTr="002471CB">
        <w:tc>
          <w:tcPr>
            <w:tcW w:w="3708" w:type="dxa"/>
            <w:gridSpan w:val="2"/>
            <w:tcBorders>
              <w:right w:val="nil"/>
            </w:tcBorders>
          </w:tcPr>
          <w:p w:rsidR="00A052F5" w:rsidRPr="00737723" w:rsidRDefault="00737723" w:rsidP="00317B22">
            <w:pPr>
              <w:rPr>
                <w:lang w:val="fr-CA"/>
              </w:rPr>
            </w:pPr>
            <w:r w:rsidRPr="00737723">
              <w:rPr>
                <w:lang w:val="fr-CA"/>
              </w:rPr>
              <w:t>Vous ou votre organisme</w:t>
            </w:r>
          </w:p>
          <w:p w:rsidR="00317B22" w:rsidRPr="00737723" w:rsidRDefault="00A052F5" w:rsidP="00317B22">
            <w:pPr>
              <w:rPr>
                <w:i/>
                <w:sz w:val="20"/>
                <w:szCs w:val="20"/>
                <w:lang w:val="fr-CA"/>
              </w:rPr>
            </w:pPr>
            <w:r w:rsidRPr="00737723">
              <w:rPr>
                <w:i/>
                <w:sz w:val="20"/>
                <w:szCs w:val="20"/>
                <w:lang w:val="fr-CA"/>
              </w:rPr>
              <w:t>(</w:t>
            </w:r>
            <w:r w:rsidR="00737723" w:rsidRPr="00737723">
              <w:rPr>
                <w:i/>
                <w:sz w:val="20"/>
                <w:szCs w:val="20"/>
                <w:lang w:val="fr-CA"/>
              </w:rPr>
              <w:t>veuillez cocher la case appropriée</w:t>
            </w:r>
            <w:r w:rsidRPr="00737723">
              <w:rPr>
                <w:i/>
                <w:sz w:val="20"/>
                <w:szCs w:val="20"/>
                <w:lang w:val="fr-CA"/>
              </w:rPr>
              <w:t>)</w:t>
            </w:r>
          </w:p>
          <w:p w:rsidR="00F53C7C" w:rsidRPr="00737723" w:rsidRDefault="00F53C7C" w:rsidP="00317B22">
            <w:pPr>
              <w:rPr>
                <w:i/>
                <w:sz w:val="20"/>
                <w:szCs w:val="20"/>
                <w:lang w:val="fr-CA"/>
              </w:rPr>
            </w:pPr>
          </w:p>
          <w:p w:rsidR="00317B22" w:rsidRPr="00282FBB" w:rsidRDefault="00A20F17" w:rsidP="00317B22">
            <w:pPr>
              <w:tabs>
                <w:tab w:val="left" w:pos="616"/>
              </w:tabs>
              <w:rPr>
                <w:lang w:val="fr-CA"/>
              </w:rPr>
            </w:pPr>
            <w:sdt>
              <w:sdtPr>
                <w:rPr>
                  <w:lang w:val="fr-CA"/>
                </w:rPr>
                <w:id w:val="16691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22" w:rsidRPr="00282FBB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317B22" w:rsidRPr="00282FBB">
              <w:rPr>
                <w:lang w:val="fr-CA"/>
              </w:rPr>
              <w:tab/>
            </w:r>
            <w:r w:rsidR="00C86017" w:rsidRPr="00282FBB">
              <w:rPr>
                <w:lang w:val="fr-CA"/>
              </w:rPr>
              <w:t>Cons</w:t>
            </w:r>
            <w:r w:rsidR="007B6357" w:rsidRPr="00282FBB">
              <w:rPr>
                <w:lang w:val="fr-CA"/>
              </w:rPr>
              <w:t xml:space="preserve">ommateur </w:t>
            </w:r>
          </w:p>
          <w:p w:rsidR="00C86017" w:rsidRPr="00282FBB" w:rsidRDefault="00A20F17" w:rsidP="00C86017">
            <w:pPr>
              <w:tabs>
                <w:tab w:val="left" w:pos="616"/>
              </w:tabs>
              <w:rPr>
                <w:lang w:val="fr-CA"/>
              </w:rPr>
            </w:pPr>
            <w:sdt>
              <w:sdtPr>
                <w:rPr>
                  <w:lang w:val="fr-CA"/>
                </w:rPr>
                <w:id w:val="-21300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E" w:rsidRPr="00282FBB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86017" w:rsidRPr="00282FBB">
              <w:rPr>
                <w:lang w:val="fr-CA"/>
              </w:rPr>
              <w:tab/>
            </w:r>
            <w:r w:rsidR="007B6357" w:rsidRPr="00282FBB">
              <w:rPr>
                <w:lang w:val="fr-CA"/>
              </w:rPr>
              <w:t xml:space="preserve">Société de prêt sur salaire </w:t>
            </w:r>
          </w:p>
          <w:p w:rsidR="005A7BF7" w:rsidRPr="00737723" w:rsidRDefault="00A20F17" w:rsidP="005A7BF7">
            <w:pPr>
              <w:tabs>
                <w:tab w:val="left" w:pos="616"/>
              </w:tabs>
              <w:rPr>
                <w:lang w:val="fr-CA"/>
              </w:rPr>
            </w:pPr>
            <w:sdt>
              <w:sdtPr>
                <w:rPr>
                  <w:lang w:val="fr-CA"/>
                </w:rPr>
                <w:id w:val="3720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F7" w:rsidRPr="0073772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317B22" w:rsidRPr="00737723">
              <w:rPr>
                <w:lang w:val="fr-CA"/>
              </w:rPr>
              <w:tab/>
            </w:r>
            <w:r w:rsidR="00737723" w:rsidRPr="00737723">
              <w:rPr>
                <w:lang w:val="fr-CA"/>
              </w:rPr>
              <w:t xml:space="preserve">Conseiller en crédit </w:t>
            </w:r>
          </w:p>
          <w:p w:rsidR="00CA57A1" w:rsidRPr="00737723" w:rsidRDefault="00A20F17" w:rsidP="00CA57A1">
            <w:pPr>
              <w:tabs>
                <w:tab w:val="left" w:pos="616"/>
              </w:tabs>
              <w:rPr>
                <w:lang w:val="fr-CA"/>
              </w:rPr>
            </w:pPr>
            <w:sdt>
              <w:sdtPr>
                <w:rPr>
                  <w:lang w:val="fr-CA"/>
                </w:rPr>
                <w:id w:val="-17592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F7" w:rsidRPr="0073772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5A7BF7" w:rsidRPr="00737723">
              <w:rPr>
                <w:lang w:val="fr-CA"/>
              </w:rPr>
              <w:tab/>
            </w:r>
            <w:r w:rsidR="00737723" w:rsidRPr="00737723">
              <w:rPr>
                <w:lang w:val="fr-CA"/>
              </w:rPr>
              <w:t xml:space="preserve">Participant d’une autre industrie </w:t>
            </w:r>
            <w:r w:rsidR="005A7BF7" w:rsidRPr="00737723">
              <w:rPr>
                <w:lang w:val="fr-CA"/>
              </w:rPr>
              <w:t>(</w:t>
            </w:r>
            <w:r w:rsidR="00737723" w:rsidRPr="00737723">
              <w:rPr>
                <w:lang w:val="fr-CA"/>
              </w:rPr>
              <w:t>p. ex.,</w:t>
            </w:r>
            <w:r w:rsidR="005A7BF7" w:rsidRPr="00737723">
              <w:rPr>
                <w:lang w:val="fr-CA"/>
              </w:rPr>
              <w:t xml:space="preserve"> </w:t>
            </w:r>
            <w:r w:rsidR="00737723" w:rsidRPr="00737723">
              <w:rPr>
                <w:lang w:val="fr-CA"/>
              </w:rPr>
              <w:t>organisme communautaire, organisme de protection du consommateur)</w:t>
            </w:r>
            <w:r w:rsidR="001E7079" w:rsidRPr="00737723">
              <w:rPr>
                <w:lang w:val="fr-CA"/>
              </w:rPr>
              <w:t xml:space="preserve"> </w:t>
            </w:r>
            <w:r w:rsidR="00B131F6" w:rsidRPr="00737723">
              <w:rPr>
                <w:lang w:val="fr-CA"/>
              </w:rPr>
              <w:t xml:space="preserve"> </w:t>
            </w:r>
          </w:p>
          <w:p w:rsidR="00F53C7C" w:rsidRPr="00737723" w:rsidRDefault="00F53C7C" w:rsidP="00CA57A1">
            <w:pPr>
              <w:tabs>
                <w:tab w:val="left" w:pos="616"/>
              </w:tabs>
              <w:rPr>
                <w:lang w:val="fr-CA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CA57A1" w:rsidRPr="00737723" w:rsidRDefault="00CA57A1" w:rsidP="00A4628F">
            <w:pPr>
              <w:tabs>
                <w:tab w:val="left" w:pos="638"/>
              </w:tabs>
              <w:rPr>
                <w:lang w:val="fr-CA"/>
              </w:rPr>
            </w:pPr>
          </w:p>
          <w:p w:rsidR="00F53C7C" w:rsidRPr="00737723" w:rsidRDefault="00F53C7C" w:rsidP="00F53C7C">
            <w:pPr>
              <w:tabs>
                <w:tab w:val="left" w:pos="616"/>
              </w:tabs>
              <w:rPr>
                <w:lang w:val="fr-CA"/>
              </w:rPr>
            </w:pPr>
            <w:r w:rsidRPr="00737723">
              <w:rPr>
                <w:lang w:val="fr-CA"/>
              </w:rPr>
              <w:t xml:space="preserve">  </w:t>
            </w:r>
          </w:p>
          <w:p w:rsidR="00F53C7C" w:rsidRPr="00737723" w:rsidRDefault="00F53C7C" w:rsidP="00F53C7C">
            <w:pPr>
              <w:tabs>
                <w:tab w:val="left" w:pos="616"/>
              </w:tabs>
              <w:rPr>
                <w:lang w:val="fr-CA"/>
              </w:rPr>
            </w:pPr>
          </w:p>
          <w:p w:rsidR="00F53C7C" w:rsidRDefault="00A20F17" w:rsidP="00F53C7C">
            <w:pPr>
              <w:ind w:left="720"/>
            </w:pPr>
            <w:sdt>
              <w:sdtPr>
                <w:id w:val="-13490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B6357">
              <w:t>Autre</w:t>
            </w:r>
            <w:proofErr w:type="spellEnd"/>
            <w:r w:rsidR="007B6357">
              <w:t xml:space="preserve"> </w:t>
            </w:r>
            <w:r w:rsidR="00F53C7C">
              <w:t xml:space="preserve">: </w:t>
            </w:r>
          </w:p>
          <w:p w:rsidR="00F53C7C" w:rsidRDefault="00F53C7C" w:rsidP="00A4628F">
            <w:pPr>
              <w:tabs>
                <w:tab w:val="left" w:pos="638"/>
              </w:tabs>
            </w:pPr>
          </w:p>
        </w:tc>
        <w:tc>
          <w:tcPr>
            <w:tcW w:w="4068" w:type="dxa"/>
            <w:tcBorders>
              <w:left w:val="nil"/>
            </w:tcBorders>
          </w:tcPr>
          <w:p w:rsidR="00317B22" w:rsidRDefault="00317B22"/>
          <w:p w:rsidR="00F53C7C" w:rsidRDefault="00F53C7C"/>
          <w:sdt>
            <w:sdtPr>
              <w:rPr>
                <w:i/>
                <w:sz w:val="18"/>
                <w:szCs w:val="18"/>
              </w:rPr>
              <w:id w:val="2021663939"/>
              <w:showingPlcHdr/>
              <w:text/>
            </w:sdtPr>
            <w:sdtEndPr/>
            <w:sdtContent>
              <w:p w:rsidR="00F53C7C" w:rsidRPr="00B131F6" w:rsidRDefault="00F53C7C" w:rsidP="00F53C7C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     </w:t>
                </w:r>
              </w:p>
            </w:sdtContent>
          </w:sdt>
          <w:p w:rsidR="00F53C7C" w:rsidRDefault="00F53C7C" w:rsidP="00F53C7C"/>
        </w:tc>
      </w:tr>
      <w:tr w:rsidR="003E27A1" w:rsidTr="00053D6A">
        <w:tc>
          <w:tcPr>
            <w:tcW w:w="11016" w:type="dxa"/>
            <w:gridSpan w:val="5"/>
            <w:shd w:val="clear" w:color="auto" w:fill="548DD4" w:themeFill="text2" w:themeFillTint="99"/>
          </w:tcPr>
          <w:p w:rsidR="003E27A1" w:rsidRPr="00715CE7" w:rsidRDefault="00737723" w:rsidP="00A91E02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</w:rPr>
              <w:t>Projets</w:t>
            </w:r>
            <w:proofErr w:type="spellEnd"/>
            <w:r>
              <w:rPr>
                <w:b/>
                <w:color w:val="FFFFFF" w:themeColor="background1"/>
              </w:rPr>
              <w:t xml:space="preserve"> de c</w:t>
            </w:r>
            <w:r w:rsidR="005A7BF7">
              <w:rPr>
                <w:b/>
                <w:color w:val="FFFFFF" w:themeColor="background1"/>
              </w:rPr>
              <w:t xml:space="preserve">onsultation </w:t>
            </w:r>
          </w:p>
        </w:tc>
      </w:tr>
      <w:tr w:rsidR="003E27A1" w:rsidRPr="00A20F17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3E27A1" w:rsidRPr="00E879A0" w:rsidRDefault="00737723" w:rsidP="00E879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E879A0">
              <w:rPr>
                <w:rFonts w:ascii="Arial" w:hAnsi="Arial" w:cs="Arial"/>
                <w:lang w:val="fr-CA"/>
              </w:rPr>
              <w:t xml:space="preserve">Prêts sur salaire en ligne et par </w:t>
            </w:r>
            <w:r w:rsidR="00E879A0" w:rsidRPr="00E879A0">
              <w:rPr>
                <w:rFonts w:ascii="Arial" w:hAnsi="Arial" w:cs="Arial"/>
                <w:lang w:val="fr-CA"/>
              </w:rPr>
              <w:t xml:space="preserve">téléphone cellulaire </w:t>
            </w:r>
          </w:p>
        </w:tc>
      </w:tr>
      <w:tr w:rsidR="003E27A1" w:rsidRPr="00A20F17" w:rsidTr="003E27A1">
        <w:tc>
          <w:tcPr>
            <w:tcW w:w="11016" w:type="dxa"/>
            <w:gridSpan w:val="5"/>
          </w:tcPr>
          <w:p w:rsidR="003E27A1" w:rsidRPr="00E879A0" w:rsidRDefault="003E27A1" w:rsidP="003E27A1">
            <w:pPr>
              <w:rPr>
                <w:i/>
                <w:color w:val="7F7F7F" w:themeColor="text1" w:themeTint="80"/>
                <w:lang w:val="fr-CA"/>
              </w:rPr>
            </w:pPr>
            <w:r w:rsidRPr="00E879A0">
              <w:rPr>
                <w:i/>
                <w:color w:val="7F7F7F" w:themeColor="text1" w:themeTint="80"/>
                <w:lang w:val="fr-CA"/>
              </w:rPr>
              <w:t>(in</w:t>
            </w:r>
            <w:r w:rsidR="00F47D6E">
              <w:rPr>
                <w:i/>
                <w:color w:val="7F7F7F" w:themeColor="text1" w:themeTint="80"/>
                <w:lang w:val="fr-CA"/>
              </w:rPr>
              <w:t xml:space="preserve">sérez </w:t>
            </w:r>
            <w:r w:rsidR="00A91E02">
              <w:rPr>
                <w:i/>
                <w:color w:val="7F7F7F" w:themeColor="text1" w:themeTint="80"/>
                <w:lang w:val="fr-CA"/>
              </w:rPr>
              <w:t xml:space="preserve">vos </w:t>
            </w:r>
            <w:r w:rsidR="00E879A0" w:rsidRPr="00E879A0">
              <w:rPr>
                <w:i/>
                <w:color w:val="7F7F7F" w:themeColor="text1" w:themeTint="80"/>
                <w:lang w:val="fr-CA"/>
              </w:rPr>
              <w:t xml:space="preserve">commentaires </w:t>
            </w:r>
            <w:r w:rsidR="00F53C7C" w:rsidRPr="00E879A0">
              <w:rPr>
                <w:i/>
                <w:color w:val="7F7F7F" w:themeColor="text1" w:themeTint="80"/>
                <w:lang w:val="fr-CA"/>
              </w:rPr>
              <w:t>–</w:t>
            </w:r>
            <w:r w:rsidR="00E879A0" w:rsidRPr="00E879A0">
              <w:rPr>
                <w:i/>
                <w:color w:val="7F7F7F" w:themeColor="text1" w:themeTint="80"/>
                <w:lang w:val="fr-CA"/>
              </w:rPr>
              <w:t xml:space="preserve"> si nécessaire, l’espace s’élargira au fur et </w:t>
            </w:r>
            <w:r w:rsidR="00E879A0">
              <w:rPr>
                <w:i/>
                <w:color w:val="7F7F7F" w:themeColor="text1" w:themeTint="80"/>
                <w:lang w:val="fr-CA"/>
              </w:rPr>
              <w:t>à mesure que vous tape</w:t>
            </w:r>
            <w:r w:rsidR="00A91E02">
              <w:rPr>
                <w:i/>
                <w:color w:val="7F7F7F" w:themeColor="text1" w:themeTint="80"/>
                <w:lang w:val="fr-CA"/>
              </w:rPr>
              <w:t>re</w:t>
            </w:r>
            <w:r w:rsidR="00E879A0">
              <w:rPr>
                <w:i/>
                <w:color w:val="7F7F7F" w:themeColor="text1" w:themeTint="80"/>
                <w:lang w:val="fr-CA"/>
              </w:rPr>
              <w:t>z)</w:t>
            </w:r>
          </w:p>
          <w:p w:rsidR="003E27A1" w:rsidRPr="00E879A0" w:rsidRDefault="003E27A1">
            <w:pPr>
              <w:rPr>
                <w:lang w:val="fr-CA"/>
              </w:rPr>
            </w:pPr>
          </w:p>
          <w:p w:rsidR="00715CE7" w:rsidRPr="00E879A0" w:rsidRDefault="00715CE7">
            <w:pPr>
              <w:rPr>
                <w:lang w:val="fr-CA"/>
              </w:rPr>
            </w:pPr>
          </w:p>
          <w:p w:rsidR="00715CE7" w:rsidRPr="00E879A0" w:rsidRDefault="00715CE7">
            <w:pPr>
              <w:rPr>
                <w:lang w:val="fr-CA"/>
              </w:rPr>
            </w:pPr>
          </w:p>
        </w:tc>
      </w:tr>
      <w:tr w:rsidR="003E27A1" w:rsidRPr="00A20F17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3E27A1" w:rsidRPr="00E879A0" w:rsidRDefault="00E879A0" w:rsidP="00E879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E879A0">
              <w:rPr>
                <w:rFonts w:ascii="Arial" w:hAnsi="Arial" w:cs="Arial"/>
                <w:lang w:val="fr-CA"/>
              </w:rPr>
              <w:t>Produits de prêts nouveaux</w:t>
            </w:r>
            <w:r w:rsidR="00F03F7E" w:rsidRPr="00E879A0">
              <w:rPr>
                <w:rFonts w:ascii="Arial" w:hAnsi="Arial" w:cs="Arial"/>
                <w:lang w:val="fr-CA"/>
              </w:rPr>
              <w:t>/</w:t>
            </w:r>
            <w:r w:rsidRPr="00E879A0">
              <w:rPr>
                <w:rFonts w:ascii="Arial" w:hAnsi="Arial" w:cs="Arial"/>
                <w:lang w:val="fr-CA"/>
              </w:rPr>
              <w:t xml:space="preserve">de substitution </w:t>
            </w:r>
          </w:p>
        </w:tc>
      </w:tr>
      <w:tr w:rsidR="003E27A1" w:rsidTr="003E27A1">
        <w:tc>
          <w:tcPr>
            <w:tcW w:w="11016" w:type="dxa"/>
            <w:gridSpan w:val="5"/>
          </w:tcPr>
          <w:p w:rsidR="001F52D2" w:rsidRPr="0085669F" w:rsidRDefault="001F52D2" w:rsidP="001F52D2">
            <w:pPr>
              <w:rPr>
                <w:i/>
                <w:color w:val="7F7F7F" w:themeColor="text1" w:themeTint="80"/>
              </w:rPr>
            </w:pPr>
            <w:r w:rsidRPr="003F3188">
              <w:rPr>
                <w:i/>
                <w:color w:val="7F7F7F" w:themeColor="text1" w:themeTint="80"/>
              </w:rPr>
              <w:t>(</w:t>
            </w:r>
            <w:proofErr w:type="spellStart"/>
            <w:r w:rsidRPr="003F3188">
              <w:rPr>
                <w:i/>
                <w:color w:val="7F7F7F" w:themeColor="text1" w:themeTint="80"/>
              </w:rPr>
              <w:t>in</w:t>
            </w:r>
            <w:r w:rsidR="00F47D6E">
              <w:rPr>
                <w:i/>
                <w:color w:val="7F7F7F" w:themeColor="text1" w:themeTint="80"/>
              </w:rPr>
              <w:t>sérez</w:t>
            </w:r>
            <w:proofErr w:type="spellEnd"/>
            <w:r w:rsidR="00F47D6E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A91E02">
              <w:rPr>
                <w:i/>
                <w:color w:val="7F7F7F" w:themeColor="text1" w:themeTint="80"/>
              </w:rPr>
              <w:t>vos</w:t>
            </w:r>
            <w:proofErr w:type="spellEnd"/>
            <w:r w:rsidR="00A91E02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E879A0">
              <w:rPr>
                <w:i/>
                <w:color w:val="7F7F7F" w:themeColor="text1" w:themeTint="80"/>
              </w:rPr>
              <w:t>commentaires</w:t>
            </w:r>
            <w:proofErr w:type="spellEnd"/>
            <w:r w:rsidRPr="003F3188">
              <w:rPr>
                <w:i/>
                <w:color w:val="7F7F7F" w:themeColor="text1" w:themeTint="80"/>
              </w:rPr>
              <w:t>)</w:t>
            </w:r>
          </w:p>
          <w:p w:rsidR="003E27A1" w:rsidRDefault="003E27A1"/>
          <w:p w:rsidR="00F57072" w:rsidRDefault="00F57072"/>
          <w:p w:rsidR="00715CE7" w:rsidRDefault="00715CE7"/>
        </w:tc>
      </w:tr>
      <w:tr w:rsidR="001F52D2" w:rsidRPr="00A20F17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1F52D2" w:rsidRPr="00F47D6E" w:rsidRDefault="00E52971" w:rsidP="00F47D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F47D6E">
              <w:rPr>
                <w:rFonts w:ascii="Arial" w:hAnsi="Arial" w:cs="Arial"/>
                <w:lang w:val="fr-CA"/>
              </w:rPr>
              <w:t xml:space="preserve">Emprunts multiples </w:t>
            </w:r>
            <w:r w:rsidR="00F47D6E" w:rsidRPr="00F47D6E">
              <w:rPr>
                <w:rFonts w:ascii="Arial" w:hAnsi="Arial" w:cs="Arial"/>
                <w:lang w:val="fr-CA"/>
              </w:rPr>
              <w:t xml:space="preserve">à haute fréquence </w:t>
            </w:r>
          </w:p>
        </w:tc>
      </w:tr>
      <w:tr w:rsidR="001F52D2" w:rsidTr="003E27A1">
        <w:tc>
          <w:tcPr>
            <w:tcW w:w="11016" w:type="dxa"/>
            <w:gridSpan w:val="5"/>
          </w:tcPr>
          <w:p w:rsidR="00F47D6E" w:rsidRPr="0085669F" w:rsidRDefault="00F47D6E" w:rsidP="00F47D6E">
            <w:pPr>
              <w:rPr>
                <w:i/>
                <w:color w:val="7F7F7F" w:themeColor="text1" w:themeTint="80"/>
              </w:rPr>
            </w:pPr>
            <w:r w:rsidRPr="003F3188">
              <w:rPr>
                <w:i/>
                <w:color w:val="7F7F7F" w:themeColor="text1" w:themeTint="80"/>
              </w:rPr>
              <w:t>(</w:t>
            </w:r>
            <w:proofErr w:type="spellStart"/>
            <w:r w:rsidRPr="003F3188">
              <w:rPr>
                <w:i/>
                <w:color w:val="7F7F7F" w:themeColor="text1" w:themeTint="80"/>
              </w:rPr>
              <w:t>in</w:t>
            </w:r>
            <w:r>
              <w:rPr>
                <w:i/>
                <w:color w:val="7F7F7F" w:themeColor="text1" w:themeTint="80"/>
              </w:rPr>
              <w:t>sérez</w:t>
            </w:r>
            <w:proofErr w:type="spellEnd"/>
            <w:r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A91E02">
              <w:rPr>
                <w:i/>
                <w:color w:val="7F7F7F" w:themeColor="text1" w:themeTint="80"/>
              </w:rPr>
              <w:t>vos</w:t>
            </w:r>
            <w:proofErr w:type="spellEnd"/>
            <w:r w:rsidR="00A91E02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</w:rPr>
              <w:t>commentaires</w:t>
            </w:r>
            <w:proofErr w:type="spellEnd"/>
            <w:r w:rsidRPr="003F3188">
              <w:rPr>
                <w:i/>
                <w:color w:val="7F7F7F" w:themeColor="text1" w:themeTint="80"/>
              </w:rPr>
              <w:t>)</w:t>
            </w:r>
          </w:p>
          <w:p w:rsidR="001F52D2" w:rsidRDefault="001F52D2" w:rsidP="00E22945"/>
          <w:p w:rsidR="00715CE7" w:rsidRDefault="00715CE7" w:rsidP="00E22945"/>
          <w:p w:rsidR="00BE730C" w:rsidRDefault="00BE730C" w:rsidP="00E22945"/>
        </w:tc>
      </w:tr>
      <w:tr w:rsidR="001F52D2" w:rsidRPr="00A20F17" w:rsidTr="001E64F2">
        <w:trPr>
          <w:trHeight w:val="197"/>
        </w:trPr>
        <w:tc>
          <w:tcPr>
            <w:tcW w:w="11016" w:type="dxa"/>
            <w:gridSpan w:val="5"/>
            <w:shd w:val="clear" w:color="auto" w:fill="DBE5F1" w:themeFill="accent1" w:themeFillTint="33"/>
          </w:tcPr>
          <w:p w:rsidR="001F52D2" w:rsidRPr="00685571" w:rsidRDefault="00F47D6E" w:rsidP="00685571">
            <w:pPr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  <w:lang w:val="fr-CA"/>
              </w:rPr>
            </w:pPr>
            <w:r w:rsidRPr="00685571">
              <w:rPr>
                <w:rFonts w:ascii="Arial" w:eastAsiaTheme="minorEastAsia" w:hAnsi="Arial" w:cs="Arial"/>
                <w:lang w:val="fr-CA"/>
              </w:rPr>
              <w:t>Exigences en matière de données, surveillance et</w:t>
            </w:r>
            <w:r w:rsidR="00F03F7E" w:rsidRPr="00685571">
              <w:rPr>
                <w:rFonts w:ascii="Arial" w:eastAsiaTheme="minorEastAsia" w:hAnsi="Arial" w:cs="Arial"/>
                <w:lang w:val="fr-CA"/>
              </w:rPr>
              <w:t xml:space="preserve"> </w:t>
            </w:r>
            <w:r w:rsidR="00685571" w:rsidRPr="00685571">
              <w:rPr>
                <w:rFonts w:ascii="Arial" w:eastAsiaTheme="minorEastAsia" w:hAnsi="Arial" w:cs="Arial"/>
                <w:lang w:val="fr-CA"/>
              </w:rPr>
              <w:t>ex</w:t>
            </w:r>
            <w:r w:rsidR="00685571">
              <w:rPr>
                <w:rFonts w:ascii="Arial" w:eastAsiaTheme="minorEastAsia" w:hAnsi="Arial" w:cs="Arial"/>
                <w:lang w:val="fr-CA"/>
              </w:rPr>
              <w:t>é</w:t>
            </w:r>
            <w:r w:rsidR="00685571" w:rsidRPr="00685571">
              <w:rPr>
                <w:rFonts w:ascii="Arial" w:eastAsiaTheme="minorEastAsia" w:hAnsi="Arial" w:cs="Arial"/>
                <w:lang w:val="fr-CA"/>
              </w:rPr>
              <w:t xml:space="preserve">cution </w:t>
            </w:r>
          </w:p>
        </w:tc>
      </w:tr>
      <w:tr w:rsidR="001F52D2" w:rsidTr="003E27A1">
        <w:tc>
          <w:tcPr>
            <w:tcW w:w="11016" w:type="dxa"/>
            <w:gridSpan w:val="5"/>
          </w:tcPr>
          <w:p w:rsidR="001F52D2" w:rsidRPr="0085669F" w:rsidRDefault="00685571" w:rsidP="00E22945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lastRenderedPageBreak/>
              <w:t>(</w:t>
            </w:r>
            <w:proofErr w:type="spellStart"/>
            <w:r>
              <w:rPr>
                <w:i/>
                <w:color w:val="7F7F7F" w:themeColor="text1" w:themeTint="80"/>
              </w:rPr>
              <w:t>insérez</w:t>
            </w:r>
            <w:proofErr w:type="spellEnd"/>
            <w:r w:rsidR="00A91E02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A91E02">
              <w:rPr>
                <w:i/>
                <w:color w:val="7F7F7F" w:themeColor="text1" w:themeTint="80"/>
              </w:rPr>
              <w:t>vos</w:t>
            </w:r>
            <w:proofErr w:type="spellEnd"/>
            <w:r>
              <w:rPr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</w:rPr>
              <w:t>commentaires</w:t>
            </w:r>
            <w:proofErr w:type="spellEnd"/>
            <w:r>
              <w:rPr>
                <w:i/>
                <w:color w:val="7F7F7F" w:themeColor="text1" w:themeTint="80"/>
              </w:rPr>
              <w:t>)</w:t>
            </w:r>
          </w:p>
          <w:p w:rsidR="001F52D2" w:rsidRDefault="001F52D2" w:rsidP="00E22945"/>
          <w:p w:rsidR="00326B34" w:rsidRDefault="00326B34" w:rsidP="00E22945"/>
          <w:p w:rsidR="00F53C7C" w:rsidRDefault="00F53C7C" w:rsidP="00E22945"/>
        </w:tc>
      </w:tr>
      <w:tr w:rsidR="001F52D2" w:rsidRPr="00A20F17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1F52D2" w:rsidRPr="00685571" w:rsidRDefault="00685571" w:rsidP="00685571">
            <w:pPr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685571">
              <w:rPr>
                <w:rFonts w:ascii="Arial" w:hAnsi="Arial" w:cs="Arial"/>
                <w:lang w:val="fr-CA"/>
              </w:rPr>
              <w:t>Coût total m</w:t>
            </w:r>
            <w:r w:rsidR="00F03F7E" w:rsidRPr="00685571">
              <w:rPr>
                <w:rFonts w:ascii="Arial" w:hAnsi="Arial" w:cs="Arial"/>
                <w:lang w:val="fr-CA"/>
              </w:rPr>
              <w:t xml:space="preserve">aximum </w:t>
            </w:r>
            <w:r w:rsidRPr="00685571">
              <w:rPr>
                <w:rFonts w:ascii="Arial" w:hAnsi="Arial" w:cs="Arial"/>
                <w:lang w:val="fr-CA"/>
              </w:rPr>
              <w:t xml:space="preserve">de l’emprunt </w:t>
            </w:r>
          </w:p>
        </w:tc>
      </w:tr>
      <w:tr w:rsidR="001F52D2" w:rsidTr="003E27A1">
        <w:tc>
          <w:tcPr>
            <w:tcW w:w="11016" w:type="dxa"/>
            <w:gridSpan w:val="5"/>
          </w:tcPr>
          <w:p w:rsidR="00E22945" w:rsidRPr="0085669F" w:rsidRDefault="00685571" w:rsidP="00E22945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</w:t>
            </w:r>
            <w:proofErr w:type="spellStart"/>
            <w:r>
              <w:rPr>
                <w:i/>
                <w:color w:val="7F7F7F" w:themeColor="text1" w:themeTint="80"/>
              </w:rPr>
              <w:t>insérez</w:t>
            </w:r>
            <w:proofErr w:type="spellEnd"/>
            <w:r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A91E02">
              <w:rPr>
                <w:i/>
                <w:color w:val="7F7F7F" w:themeColor="text1" w:themeTint="80"/>
              </w:rPr>
              <w:t>vos</w:t>
            </w:r>
            <w:proofErr w:type="spellEnd"/>
            <w:r w:rsidR="00A91E02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</w:rPr>
              <w:t>commentaires</w:t>
            </w:r>
            <w:proofErr w:type="spellEnd"/>
            <w:r>
              <w:rPr>
                <w:i/>
                <w:color w:val="7F7F7F" w:themeColor="text1" w:themeTint="80"/>
              </w:rPr>
              <w:t>)</w:t>
            </w:r>
          </w:p>
          <w:p w:rsidR="00715CE7" w:rsidRDefault="00715CE7" w:rsidP="00E22945"/>
          <w:p w:rsidR="006F6000" w:rsidRDefault="006F6000" w:rsidP="00E22945"/>
          <w:p w:rsidR="00715CE7" w:rsidRDefault="00715CE7" w:rsidP="00E22945"/>
        </w:tc>
      </w:tr>
      <w:tr w:rsidR="005A7BF7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5A7BF7" w:rsidRPr="005A7BF7" w:rsidRDefault="00685571" w:rsidP="0068557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Formation </w:t>
            </w:r>
            <w:proofErr w:type="spellStart"/>
            <w:r>
              <w:rPr>
                <w:rFonts w:ascii="Arial" w:hAnsi="Arial" w:cs="Arial"/>
              </w:rPr>
              <w:t>financière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sensibilisation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A7BF7" w:rsidTr="003E27A1">
        <w:tc>
          <w:tcPr>
            <w:tcW w:w="11016" w:type="dxa"/>
            <w:gridSpan w:val="5"/>
          </w:tcPr>
          <w:p w:rsidR="005A7BF7" w:rsidRPr="0085669F" w:rsidRDefault="00685571" w:rsidP="005A7BF7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</w:t>
            </w:r>
            <w:proofErr w:type="spellStart"/>
            <w:r>
              <w:rPr>
                <w:i/>
                <w:color w:val="7F7F7F" w:themeColor="text1" w:themeTint="80"/>
              </w:rPr>
              <w:t>insérez</w:t>
            </w:r>
            <w:proofErr w:type="spellEnd"/>
            <w:r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A91E02">
              <w:rPr>
                <w:i/>
                <w:color w:val="7F7F7F" w:themeColor="text1" w:themeTint="80"/>
              </w:rPr>
              <w:t>vos</w:t>
            </w:r>
            <w:proofErr w:type="spellEnd"/>
            <w:r>
              <w:rPr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</w:rPr>
              <w:t>commentaires</w:t>
            </w:r>
            <w:proofErr w:type="spellEnd"/>
            <w:r>
              <w:rPr>
                <w:i/>
                <w:color w:val="7F7F7F" w:themeColor="text1" w:themeTint="80"/>
              </w:rPr>
              <w:t>)</w:t>
            </w:r>
          </w:p>
          <w:p w:rsidR="005A7BF7" w:rsidRDefault="005A7BF7" w:rsidP="005A7BF7"/>
          <w:p w:rsidR="006F6000" w:rsidRDefault="006F6000" w:rsidP="005A7BF7"/>
          <w:p w:rsidR="005A7BF7" w:rsidRDefault="005A7BF7" w:rsidP="005A7BF7"/>
        </w:tc>
      </w:tr>
      <w:tr w:rsidR="007C60F6" w:rsidRPr="00A20F17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7C60F6" w:rsidRPr="00685571" w:rsidRDefault="00685571" w:rsidP="006855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685571">
              <w:rPr>
                <w:rFonts w:ascii="Arial" w:hAnsi="Arial" w:cs="Arial"/>
                <w:lang w:val="fr-CA"/>
              </w:rPr>
              <w:t xml:space="preserve">Examens futurs des lois et règlements </w:t>
            </w:r>
          </w:p>
        </w:tc>
      </w:tr>
      <w:tr w:rsidR="007C60F6" w:rsidTr="003E27A1">
        <w:tc>
          <w:tcPr>
            <w:tcW w:w="11016" w:type="dxa"/>
            <w:gridSpan w:val="5"/>
          </w:tcPr>
          <w:p w:rsidR="007C60F6" w:rsidRPr="0085669F" w:rsidRDefault="00685571" w:rsidP="00F03F7E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</w:t>
            </w:r>
            <w:proofErr w:type="spellStart"/>
            <w:r>
              <w:rPr>
                <w:i/>
                <w:color w:val="7F7F7F" w:themeColor="text1" w:themeTint="80"/>
              </w:rPr>
              <w:t>insérez</w:t>
            </w:r>
            <w:proofErr w:type="spellEnd"/>
            <w:r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A91E02">
              <w:rPr>
                <w:i/>
                <w:color w:val="7F7F7F" w:themeColor="text1" w:themeTint="80"/>
              </w:rPr>
              <w:t>vos</w:t>
            </w:r>
            <w:proofErr w:type="spellEnd"/>
            <w:r w:rsidR="00A91E02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</w:rPr>
              <w:t>commentaires</w:t>
            </w:r>
            <w:proofErr w:type="spellEnd"/>
            <w:r>
              <w:rPr>
                <w:i/>
                <w:color w:val="7F7F7F" w:themeColor="text1" w:themeTint="80"/>
              </w:rPr>
              <w:t>)</w:t>
            </w:r>
          </w:p>
          <w:p w:rsidR="007C60F6" w:rsidRDefault="007C60F6" w:rsidP="00F03F7E"/>
          <w:p w:rsidR="007C60F6" w:rsidRDefault="007C60F6" w:rsidP="00F03F7E"/>
          <w:p w:rsidR="007C60F6" w:rsidRDefault="007C60F6" w:rsidP="00F03F7E"/>
        </w:tc>
      </w:tr>
      <w:tr w:rsidR="006F6000" w:rsidRPr="00A20F17" w:rsidTr="00CC353F">
        <w:tc>
          <w:tcPr>
            <w:tcW w:w="11016" w:type="dxa"/>
            <w:gridSpan w:val="5"/>
            <w:shd w:val="clear" w:color="auto" w:fill="DBE5F1" w:themeFill="accent1" w:themeFillTint="33"/>
          </w:tcPr>
          <w:p w:rsidR="006F6000" w:rsidRPr="00685571" w:rsidRDefault="00685571" w:rsidP="005879B2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685571">
              <w:rPr>
                <w:rFonts w:ascii="Arial" w:hAnsi="Arial" w:cs="Arial"/>
                <w:lang w:val="fr-CA"/>
              </w:rPr>
              <w:t xml:space="preserve">Nous </w:t>
            </w:r>
            <w:r w:rsidR="005879B2">
              <w:rPr>
                <w:rFonts w:ascii="Arial" w:hAnsi="Arial" w:cs="Arial"/>
                <w:lang w:val="fr-CA"/>
              </w:rPr>
              <w:t xml:space="preserve">aimerions </w:t>
            </w:r>
            <w:r w:rsidRPr="00685571">
              <w:rPr>
                <w:rFonts w:ascii="Arial" w:hAnsi="Arial" w:cs="Arial"/>
                <w:lang w:val="fr-CA"/>
              </w:rPr>
              <w:t xml:space="preserve">recevoir tous autres commentaires ou suggestions que vous désireriez faire. </w:t>
            </w:r>
          </w:p>
        </w:tc>
      </w:tr>
      <w:tr w:rsidR="006F6000" w:rsidRPr="00685571" w:rsidTr="003E27A1">
        <w:tc>
          <w:tcPr>
            <w:tcW w:w="11016" w:type="dxa"/>
            <w:gridSpan w:val="5"/>
          </w:tcPr>
          <w:p w:rsidR="006F6000" w:rsidRPr="00685571" w:rsidRDefault="00685571" w:rsidP="006F6000">
            <w:pPr>
              <w:rPr>
                <w:i/>
                <w:color w:val="7F7F7F" w:themeColor="text1" w:themeTint="80"/>
                <w:lang w:val="fr-CA"/>
              </w:rPr>
            </w:pPr>
            <w:r w:rsidRPr="00685571">
              <w:rPr>
                <w:i/>
                <w:color w:val="7F7F7F" w:themeColor="text1" w:themeTint="80"/>
                <w:lang w:val="fr-CA"/>
              </w:rPr>
              <w:t xml:space="preserve">(insérez </w:t>
            </w:r>
            <w:r w:rsidR="00A91E02">
              <w:rPr>
                <w:i/>
                <w:color w:val="7F7F7F" w:themeColor="text1" w:themeTint="80"/>
                <w:lang w:val="fr-CA"/>
              </w:rPr>
              <w:t>vos</w:t>
            </w:r>
            <w:r w:rsidRPr="00685571">
              <w:rPr>
                <w:i/>
                <w:color w:val="7F7F7F" w:themeColor="text1" w:themeTint="80"/>
                <w:lang w:val="fr-CA"/>
              </w:rPr>
              <w:t xml:space="preserve"> commentaires)</w:t>
            </w:r>
          </w:p>
          <w:p w:rsidR="006F6000" w:rsidRPr="00685571" w:rsidRDefault="006F6000" w:rsidP="00F03F7E">
            <w:pPr>
              <w:rPr>
                <w:i/>
                <w:color w:val="7F7F7F" w:themeColor="text1" w:themeTint="80"/>
                <w:lang w:val="fr-CA"/>
              </w:rPr>
            </w:pPr>
          </w:p>
          <w:p w:rsidR="006F6000" w:rsidRPr="00685571" w:rsidRDefault="006F6000" w:rsidP="00F03F7E">
            <w:pPr>
              <w:rPr>
                <w:i/>
                <w:color w:val="7F7F7F" w:themeColor="text1" w:themeTint="80"/>
                <w:lang w:val="fr-CA"/>
              </w:rPr>
            </w:pPr>
          </w:p>
          <w:p w:rsidR="006F6000" w:rsidRPr="00685571" w:rsidRDefault="006F6000" w:rsidP="00F03F7E">
            <w:pPr>
              <w:rPr>
                <w:i/>
                <w:color w:val="7F7F7F" w:themeColor="text1" w:themeTint="80"/>
                <w:lang w:val="fr-CA"/>
              </w:rPr>
            </w:pPr>
          </w:p>
          <w:p w:rsidR="006F6000" w:rsidRPr="00685571" w:rsidRDefault="006F6000" w:rsidP="00F03F7E">
            <w:pPr>
              <w:rPr>
                <w:i/>
                <w:color w:val="7F7F7F" w:themeColor="text1" w:themeTint="80"/>
                <w:lang w:val="fr-CA"/>
              </w:rPr>
            </w:pPr>
          </w:p>
        </w:tc>
      </w:tr>
      <w:tr w:rsidR="007C60F6" w:rsidRPr="00A20F17" w:rsidTr="00CB2A68">
        <w:trPr>
          <w:trHeight w:val="3860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7C60F6" w:rsidRPr="00685571" w:rsidRDefault="00685571" w:rsidP="00715CE7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685571">
              <w:rPr>
                <w:b/>
                <w:color w:val="FFFFFF" w:themeColor="background1"/>
                <w:lang w:val="fr-CA"/>
              </w:rPr>
              <w:t xml:space="preserve">Envoyez vos commentaires à </w:t>
            </w:r>
            <w:hyperlink r:id="rId8" w:history="1">
              <w:r w:rsidR="007C60F6" w:rsidRPr="00685571">
                <w:rPr>
                  <w:rStyle w:val="Hyperlink"/>
                  <w:b/>
                  <w:color w:val="FFFFFF" w:themeColor="background1"/>
                  <w:lang w:val="fr-CA"/>
                </w:rPr>
                <w:t>consumerpolicy@ontario.ca</w:t>
              </w:r>
            </w:hyperlink>
            <w:r w:rsidR="001E7079" w:rsidRPr="00685571">
              <w:rPr>
                <w:b/>
                <w:color w:val="FFFFFF" w:themeColor="background1"/>
                <w:lang w:val="fr-CA"/>
              </w:rPr>
              <w:t xml:space="preserve"> </w:t>
            </w:r>
            <w:r w:rsidRPr="00685571">
              <w:rPr>
                <w:b/>
                <w:color w:val="FFFFFF" w:themeColor="background1"/>
                <w:lang w:val="fr-CA"/>
              </w:rPr>
              <w:t xml:space="preserve">avant le </w:t>
            </w:r>
            <w:r w:rsidR="00A20F17" w:rsidRPr="00A20F17">
              <w:rPr>
                <w:b/>
                <w:color w:val="FFFFFF" w:themeColor="background1"/>
                <w:lang w:val="fr-CA"/>
              </w:rPr>
              <w:t>2 février 2015</w:t>
            </w:r>
          </w:p>
          <w:p w:rsidR="00551EF6" w:rsidRPr="00685571" w:rsidRDefault="00551EF6" w:rsidP="00715CE7">
            <w:pPr>
              <w:jc w:val="center"/>
              <w:rPr>
                <w:b/>
                <w:color w:val="FFFFFF" w:themeColor="background1"/>
                <w:lang w:val="fr-CA"/>
              </w:rPr>
            </w:pPr>
          </w:p>
          <w:p w:rsidR="00551EF6" w:rsidRPr="00A91496" w:rsidRDefault="005879B2" w:rsidP="00551EF6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Avis</w:t>
            </w:r>
            <w:r w:rsidR="00A91496" w:rsidRPr="00A9149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 de confidentialité</w:t>
            </w:r>
          </w:p>
          <w:p w:rsidR="00551EF6" w:rsidRPr="00A91496" w:rsidRDefault="00551EF6" w:rsidP="00551EF6">
            <w:pPr>
              <w:pStyle w:val="Default"/>
              <w:rPr>
                <w:color w:val="FFFFFF" w:themeColor="background1"/>
                <w:sz w:val="18"/>
                <w:szCs w:val="18"/>
                <w:lang w:val="fr-CA"/>
              </w:rPr>
            </w:pPr>
          </w:p>
          <w:p w:rsidR="00A91496" w:rsidRPr="00A91496" w:rsidRDefault="00A91496" w:rsidP="00383581">
            <w:pPr>
              <w:pStyle w:val="Default"/>
              <w:rPr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Veuillez </w:t>
            </w:r>
            <w:r w:rsidR="001542FA">
              <w:rPr>
                <w:color w:val="FFFFFF" w:themeColor="background1"/>
                <w:sz w:val="18"/>
                <w:szCs w:val="18"/>
                <w:lang w:val="fr-CA"/>
              </w:rPr>
              <w:t xml:space="preserve">noter 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qu’à moins que le ministère des Services gouvernementaux et </w:t>
            </w:r>
            <w:r w:rsidR="00A91E02">
              <w:rPr>
                <w:color w:val="FFFFFF" w:themeColor="background1"/>
                <w:sz w:val="18"/>
                <w:szCs w:val="18"/>
                <w:lang w:val="fr-CA"/>
              </w:rPr>
              <w:t xml:space="preserve">des 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Services aux consommateurs </w:t>
            </w:r>
            <w:r w:rsidR="001542FA">
              <w:rPr>
                <w:color w:val="FFFFFF" w:themeColor="background1"/>
                <w:sz w:val="18"/>
                <w:szCs w:val="18"/>
                <w:lang w:val="fr-CA"/>
              </w:rPr>
              <w:t>n’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en décide autrement, tous les commentaires que les organismes </w:t>
            </w:r>
            <w:r w:rsidR="001542FA">
              <w:rPr>
                <w:color w:val="FFFFFF" w:themeColor="background1"/>
                <w:sz w:val="18"/>
                <w:szCs w:val="18"/>
                <w:lang w:val="fr-CA"/>
              </w:rPr>
              <w:t xml:space="preserve">nous auront fournis 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>en réponse à la présente consultation seront considérés des renseignements publics</w:t>
            </w:r>
            <w:r w:rsidR="001542FA">
              <w:rPr>
                <w:color w:val="FFFFFF" w:themeColor="background1"/>
                <w:sz w:val="18"/>
                <w:szCs w:val="18"/>
                <w:lang w:val="fr-CA"/>
              </w:rPr>
              <w:t>,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 et le ministère pourrait les utiliser et les divulguer pour </w:t>
            </w:r>
            <w:r w:rsidR="00A91E02">
              <w:rPr>
                <w:color w:val="FFFFFF" w:themeColor="background1"/>
                <w:sz w:val="18"/>
                <w:szCs w:val="18"/>
                <w:lang w:val="fr-CA"/>
              </w:rPr>
              <w:t xml:space="preserve">mieux 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évaluer et réviser son projet. </w:t>
            </w:r>
            <w:r w:rsidR="000E6B35">
              <w:rPr>
                <w:color w:val="FFFFFF" w:themeColor="background1"/>
                <w:sz w:val="18"/>
                <w:szCs w:val="18"/>
                <w:lang w:val="fr-CA"/>
              </w:rPr>
              <w:t xml:space="preserve">Cela pourrait consister à divulguer des réponses reçues d’autres parties intéressées. </w:t>
            </w:r>
          </w:p>
          <w:p w:rsidR="00383581" w:rsidRPr="00A91E02" w:rsidRDefault="00383581" w:rsidP="00383581">
            <w:pPr>
              <w:pStyle w:val="Default"/>
              <w:rPr>
                <w:color w:val="FFFFFF" w:themeColor="background1"/>
                <w:sz w:val="18"/>
                <w:szCs w:val="18"/>
                <w:lang w:val="fr-CA"/>
              </w:rPr>
            </w:pPr>
          </w:p>
          <w:p w:rsidR="00383581" w:rsidRPr="00A91E02" w:rsidRDefault="000E6B35" w:rsidP="00383581">
            <w:pPr>
              <w:pStyle w:val="Default"/>
              <w:rPr>
                <w:color w:val="FFFFFF" w:themeColor="background1"/>
                <w:sz w:val="18"/>
                <w:szCs w:val="18"/>
                <w:lang w:val="fr-CA"/>
              </w:rPr>
            </w:pPr>
            <w:r w:rsidRPr="00A91E02">
              <w:rPr>
                <w:color w:val="FFFFFF" w:themeColor="background1"/>
                <w:sz w:val="18"/>
                <w:szCs w:val="18"/>
                <w:lang w:val="fr-CA"/>
              </w:rPr>
              <w:t xml:space="preserve">Un particulier qui fournit une réponse et indique son affiliation à un organisme sera considéré avoir présenté </w:t>
            </w:r>
            <w:r w:rsidR="00A91E02">
              <w:rPr>
                <w:color w:val="FFFFFF" w:themeColor="background1"/>
                <w:sz w:val="18"/>
                <w:szCs w:val="18"/>
                <w:lang w:val="fr-CA"/>
              </w:rPr>
              <w:t xml:space="preserve">une </w:t>
            </w:r>
            <w:r w:rsidRPr="00A91E02">
              <w:rPr>
                <w:color w:val="FFFFFF" w:themeColor="background1"/>
                <w:sz w:val="18"/>
                <w:szCs w:val="18"/>
                <w:lang w:val="fr-CA"/>
              </w:rPr>
              <w:t xml:space="preserve">réponse au nom de cet organisme. </w:t>
            </w:r>
            <w:bookmarkStart w:id="0" w:name="_GoBack"/>
            <w:bookmarkEnd w:id="0"/>
          </w:p>
          <w:p w:rsidR="00383581" w:rsidRPr="00A91E02" w:rsidRDefault="00383581" w:rsidP="00383581">
            <w:pPr>
              <w:pStyle w:val="Default"/>
              <w:rPr>
                <w:color w:val="FFFFFF" w:themeColor="background1"/>
                <w:sz w:val="18"/>
                <w:szCs w:val="18"/>
                <w:lang w:val="fr-CA"/>
              </w:rPr>
            </w:pPr>
          </w:p>
          <w:p w:rsidR="00383581" w:rsidRPr="00A91E02" w:rsidRDefault="000E6B35" w:rsidP="00383581">
            <w:pPr>
              <w:pStyle w:val="Default"/>
              <w:rPr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color w:val="FFFFFF" w:themeColor="background1"/>
                <w:sz w:val="18"/>
                <w:szCs w:val="18"/>
                <w:lang w:val="fr-CA"/>
              </w:rPr>
              <w:t>Les réponses que fournissent l</w:t>
            </w:r>
            <w:r w:rsidRPr="000E6B35">
              <w:rPr>
                <w:color w:val="FFFFFF" w:themeColor="background1"/>
                <w:sz w:val="18"/>
                <w:szCs w:val="18"/>
                <w:lang w:val="fr-CA"/>
              </w:rPr>
              <w:t>es particuliers qui n’indiquent pas une affiliation à un organisme ne seront pas considérées publiques. Les réponses de particuliers peuvent être utilisées et divulguées par le minist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>è</w:t>
            </w:r>
            <w:r w:rsidRPr="000E6B35">
              <w:rPr>
                <w:color w:val="FFFFFF" w:themeColor="background1"/>
                <w:sz w:val="18"/>
                <w:szCs w:val="18"/>
                <w:lang w:val="fr-CA"/>
              </w:rPr>
              <w:t xml:space="preserve">re 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>pour</w:t>
            </w:r>
            <w:r w:rsidR="00A91E02">
              <w:rPr>
                <w:color w:val="FFFFFF" w:themeColor="background1"/>
                <w:sz w:val="18"/>
                <w:szCs w:val="18"/>
                <w:lang w:val="fr-CA"/>
              </w:rPr>
              <w:t xml:space="preserve"> mieux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 évaluer et réviser le projet. Les renseignements personnels comme le nom d’un particulier et ses coordonnées ne seront </w:t>
            </w:r>
            <w:r w:rsidR="00810A81">
              <w:rPr>
                <w:color w:val="FFFFFF" w:themeColor="background1"/>
                <w:sz w:val="18"/>
                <w:szCs w:val="18"/>
                <w:lang w:val="fr-CA"/>
              </w:rPr>
              <w:t xml:space="preserve">pas </w:t>
            </w:r>
            <w:r>
              <w:rPr>
                <w:color w:val="FFFFFF" w:themeColor="background1"/>
                <w:sz w:val="18"/>
                <w:szCs w:val="18"/>
                <w:lang w:val="fr-CA"/>
              </w:rPr>
              <w:t xml:space="preserve">divulgués sans le consentement préalable du particulier, sauf si la loi l’exige. </w:t>
            </w:r>
          </w:p>
          <w:p w:rsidR="00CB2A68" w:rsidRPr="00A91E02" w:rsidRDefault="00CB2A68" w:rsidP="00CB2A68">
            <w:pPr>
              <w:pStyle w:val="Default"/>
              <w:rPr>
                <w:color w:val="FFFFFF" w:themeColor="background1"/>
                <w:sz w:val="18"/>
                <w:szCs w:val="18"/>
                <w:lang w:val="fr-CA"/>
              </w:rPr>
            </w:pPr>
          </w:p>
          <w:p w:rsidR="00CB2A68" w:rsidRPr="000E6B35" w:rsidRDefault="000E6B35" w:rsidP="00CB2A68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 w:rsidRPr="000E6B35"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  <w:t xml:space="preserve">Si vous avez des questions au sujet de la collecte de ces renseignements,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  <w:t xml:space="preserve">veuillez </w:t>
            </w:r>
            <w:r w:rsidR="001542FA"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  <w:t xml:space="preserve">communiquer avec </w:t>
            </w:r>
            <w:r w:rsidR="00CB2A68" w:rsidRPr="000E6B35"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  <w:t>consumerpolicy@ontario.ca.</w:t>
            </w:r>
          </w:p>
          <w:p w:rsidR="00624268" w:rsidRPr="000E6B35" w:rsidRDefault="00624268" w:rsidP="00383581">
            <w:pPr>
              <w:rPr>
                <w:b/>
                <w:lang w:val="fr-CA"/>
              </w:rPr>
            </w:pPr>
          </w:p>
        </w:tc>
      </w:tr>
    </w:tbl>
    <w:p w:rsidR="006C1564" w:rsidRPr="000E6B35" w:rsidRDefault="006C1564" w:rsidP="00B67366">
      <w:pPr>
        <w:rPr>
          <w:lang w:val="fr-CA"/>
        </w:rPr>
      </w:pPr>
    </w:p>
    <w:sectPr w:rsidR="006C1564" w:rsidRPr="000E6B35" w:rsidSect="009F3EF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9C7"/>
    <w:multiLevelType w:val="hybridMultilevel"/>
    <w:tmpl w:val="0010BBB8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82C29"/>
    <w:multiLevelType w:val="hybridMultilevel"/>
    <w:tmpl w:val="AD76F5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C96"/>
    <w:multiLevelType w:val="hybridMultilevel"/>
    <w:tmpl w:val="98F69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221D"/>
    <w:multiLevelType w:val="hybridMultilevel"/>
    <w:tmpl w:val="C40ED0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794E"/>
    <w:multiLevelType w:val="hybridMultilevel"/>
    <w:tmpl w:val="D1A659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83DA0"/>
    <w:multiLevelType w:val="hybridMultilevel"/>
    <w:tmpl w:val="970AC6D0"/>
    <w:lvl w:ilvl="0" w:tplc="CE56423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D8ED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DB5E349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9FDC582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78D02C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990CD0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53541C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4D8A1F6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46F48452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6">
    <w:nsid w:val="3FAE32F3"/>
    <w:multiLevelType w:val="hybridMultilevel"/>
    <w:tmpl w:val="ECCE2F22"/>
    <w:lvl w:ilvl="0" w:tplc="DFD8D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6DE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C86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02DF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202B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D214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1EF2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36E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80C0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46F3148B"/>
    <w:multiLevelType w:val="hybridMultilevel"/>
    <w:tmpl w:val="9E98D48E"/>
    <w:lvl w:ilvl="0" w:tplc="733C52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0F2E"/>
    <w:multiLevelType w:val="hybridMultilevel"/>
    <w:tmpl w:val="ECCE2F22"/>
    <w:lvl w:ilvl="0" w:tplc="DFD8D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6DE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C86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02DF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202B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D214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1EF2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36E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80C0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6A092BCC"/>
    <w:multiLevelType w:val="hybridMultilevel"/>
    <w:tmpl w:val="169A6E0C"/>
    <w:lvl w:ilvl="0" w:tplc="DFD8D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A1AFC"/>
    <w:multiLevelType w:val="hybridMultilevel"/>
    <w:tmpl w:val="D9B225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C"/>
    <w:rsid w:val="000002DD"/>
    <w:rsid w:val="00005085"/>
    <w:rsid w:val="0004563D"/>
    <w:rsid w:val="00053D6A"/>
    <w:rsid w:val="00081AA5"/>
    <w:rsid w:val="0009779B"/>
    <w:rsid w:val="000E6B35"/>
    <w:rsid w:val="00134A09"/>
    <w:rsid w:val="00144989"/>
    <w:rsid w:val="001542FA"/>
    <w:rsid w:val="001961C2"/>
    <w:rsid w:val="001B0FA9"/>
    <w:rsid w:val="001D0000"/>
    <w:rsid w:val="001E64F2"/>
    <w:rsid w:val="001E7079"/>
    <w:rsid w:val="001F296E"/>
    <w:rsid w:val="001F52D2"/>
    <w:rsid w:val="002471CB"/>
    <w:rsid w:val="0025103F"/>
    <w:rsid w:val="0027163B"/>
    <w:rsid w:val="00276D9A"/>
    <w:rsid w:val="00282FBB"/>
    <w:rsid w:val="002B6EDB"/>
    <w:rsid w:val="00317B22"/>
    <w:rsid w:val="00326B34"/>
    <w:rsid w:val="00340D99"/>
    <w:rsid w:val="00383581"/>
    <w:rsid w:val="003E27A1"/>
    <w:rsid w:val="003E7B0D"/>
    <w:rsid w:val="003F3188"/>
    <w:rsid w:val="00414F4A"/>
    <w:rsid w:val="00463500"/>
    <w:rsid w:val="0046619F"/>
    <w:rsid w:val="004B04BF"/>
    <w:rsid w:val="004F7804"/>
    <w:rsid w:val="00524A66"/>
    <w:rsid w:val="00551EF6"/>
    <w:rsid w:val="0055213D"/>
    <w:rsid w:val="005711AB"/>
    <w:rsid w:val="00584138"/>
    <w:rsid w:val="005879B2"/>
    <w:rsid w:val="005A7BF7"/>
    <w:rsid w:val="005B7F54"/>
    <w:rsid w:val="005D48DA"/>
    <w:rsid w:val="00601D7C"/>
    <w:rsid w:val="00606E91"/>
    <w:rsid w:val="00624268"/>
    <w:rsid w:val="006736A5"/>
    <w:rsid w:val="00677C88"/>
    <w:rsid w:val="00685571"/>
    <w:rsid w:val="00694011"/>
    <w:rsid w:val="006B528E"/>
    <w:rsid w:val="006C1564"/>
    <w:rsid w:val="006F6000"/>
    <w:rsid w:val="00715CE7"/>
    <w:rsid w:val="00722818"/>
    <w:rsid w:val="00737723"/>
    <w:rsid w:val="00775F22"/>
    <w:rsid w:val="007B6357"/>
    <w:rsid w:val="007C0299"/>
    <w:rsid w:val="007C60F6"/>
    <w:rsid w:val="007E5220"/>
    <w:rsid w:val="00810A81"/>
    <w:rsid w:val="008322F8"/>
    <w:rsid w:val="00845899"/>
    <w:rsid w:val="0085669F"/>
    <w:rsid w:val="008602A4"/>
    <w:rsid w:val="00897103"/>
    <w:rsid w:val="008E7019"/>
    <w:rsid w:val="008E7394"/>
    <w:rsid w:val="00924EE9"/>
    <w:rsid w:val="00941118"/>
    <w:rsid w:val="0098476B"/>
    <w:rsid w:val="009E5266"/>
    <w:rsid w:val="009F3EFA"/>
    <w:rsid w:val="00A052F5"/>
    <w:rsid w:val="00A20F17"/>
    <w:rsid w:val="00A4628F"/>
    <w:rsid w:val="00A55774"/>
    <w:rsid w:val="00A72A0B"/>
    <w:rsid w:val="00A81897"/>
    <w:rsid w:val="00A91496"/>
    <w:rsid w:val="00A91E02"/>
    <w:rsid w:val="00A952E3"/>
    <w:rsid w:val="00B131F6"/>
    <w:rsid w:val="00B67366"/>
    <w:rsid w:val="00B71A53"/>
    <w:rsid w:val="00BE730C"/>
    <w:rsid w:val="00C516B9"/>
    <w:rsid w:val="00C57973"/>
    <w:rsid w:val="00C86017"/>
    <w:rsid w:val="00CA2765"/>
    <w:rsid w:val="00CA57A1"/>
    <w:rsid w:val="00CB2A68"/>
    <w:rsid w:val="00CC353F"/>
    <w:rsid w:val="00D06E41"/>
    <w:rsid w:val="00D17F79"/>
    <w:rsid w:val="00D37C51"/>
    <w:rsid w:val="00D755FA"/>
    <w:rsid w:val="00E0423E"/>
    <w:rsid w:val="00E22945"/>
    <w:rsid w:val="00E52971"/>
    <w:rsid w:val="00E879A0"/>
    <w:rsid w:val="00EA72B4"/>
    <w:rsid w:val="00EE5778"/>
    <w:rsid w:val="00EF1CF1"/>
    <w:rsid w:val="00F03F7E"/>
    <w:rsid w:val="00F154EB"/>
    <w:rsid w:val="00F43CFD"/>
    <w:rsid w:val="00F47D6E"/>
    <w:rsid w:val="00F53C7C"/>
    <w:rsid w:val="00F57072"/>
    <w:rsid w:val="00F574D9"/>
    <w:rsid w:val="00F8770D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4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3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51E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9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2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4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3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51E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9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2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policy@ontari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umerpolicy@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canada.com/regist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Shane (MGCS)</dc:creator>
  <cp:keywords>payday lending;regulatory registry</cp:keywords>
  <cp:lastModifiedBy>Gallagher, Shane (MCS)</cp:lastModifiedBy>
  <cp:revision>8</cp:revision>
  <cp:lastPrinted>2014-11-26T20:28:00Z</cp:lastPrinted>
  <dcterms:created xsi:type="dcterms:W3CDTF">2014-11-25T18:43:00Z</dcterms:created>
  <dcterms:modified xsi:type="dcterms:W3CDTF">2014-12-18T14:36:00Z</dcterms:modified>
</cp:coreProperties>
</file>