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60" w:rsidRPr="00255934" w:rsidRDefault="00D74560" w:rsidP="00D74560">
      <w:pPr>
        <w:jc w:val="center"/>
        <w:rPr>
          <w:rFonts w:ascii="Arial" w:hAnsi="Arial" w:cs="Arial"/>
          <w:b/>
          <w:i/>
        </w:rPr>
      </w:pPr>
      <w:r>
        <w:rPr>
          <w:rFonts w:ascii="Arial" w:hAnsi="Arial"/>
          <w:b/>
        </w:rPr>
        <w:t xml:space="preserve">Règlements pris en application de la </w:t>
      </w:r>
      <w:r>
        <w:rPr>
          <w:rFonts w:ascii="Arial" w:hAnsi="Arial"/>
          <w:b/>
          <w:i/>
        </w:rPr>
        <w:t>Loi de 2012 sur l'autoroute 407 Est</w:t>
      </w:r>
    </w:p>
    <w:p w:rsidR="00D74560" w:rsidRDefault="00D74560" w:rsidP="00D74560">
      <w:pPr>
        <w:jc w:val="center"/>
        <w:rPr>
          <w:rFonts w:ascii="Arial" w:hAnsi="Arial" w:cs="Arial"/>
        </w:rPr>
      </w:pPr>
      <w:r>
        <w:rPr>
          <w:rFonts w:ascii="Arial" w:hAnsi="Arial"/>
        </w:rPr>
        <w:t>(Les numéros d'article font référence aux dispositions pertinentes de la Loi.)</w:t>
      </w:r>
    </w:p>
    <w:p w:rsidR="00D74560" w:rsidRDefault="00D74560" w:rsidP="00D74560">
      <w:pPr>
        <w:rPr>
          <w:rFonts w:ascii="Arial" w:hAnsi="Arial" w:cs="Arial"/>
        </w:rPr>
      </w:pPr>
    </w:p>
    <w:p w:rsidR="00D74560" w:rsidRPr="00255934" w:rsidRDefault="00D74560" w:rsidP="00D74560">
      <w:pPr>
        <w:rPr>
          <w:rFonts w:ascii="Arial" w:hAnsi="Arial" w:cs="Arial"/>
          <w:b/>
        </w:rPr>
      </w:pPr>
      <w:r>
        <w:rPr>
          <w:rFonts w:ascii="Arial" w:hAnsi="Arial"/>
          <w:b/>
        </w:rPr>
        <w:t>Montant du péage – article 16</w:t>
      </w:r>
    </w:p>
    <w:p w:rsidR="00D74560" w:rsidRDefault="00D74560" w:rsidP="00D74560">
      <w:pPr>
        <w:rPr>
          <w:rFonts w:ascii="Arial" w:hAnsi="Arial" w:cs="Arial"/>
        </w:rPr>
      </w:pPr>
    </w:p>
    <w:p w:rsidR="00D74560" w:rsidRDefault="00D74560" w:rsidP="00D74560">
      <w:pPr>
        <w:rPr>
          <w:rFonts w:ascii="Arial" w:hAnsi="Arial" w:cs="Arial"/>
        </w:rPr>
      </w:pPr>
      <w:r>
        <w:rPr>
          <w:rFonts w:ascii="Arial" w:hAnsi="Arial"/>
        </w:rPr>
        <w:t>Le ministère des Transports (MTO) propose l'horaire ci-dessous pour les montants de péage initiaux en vertu de la</w:t>
      </w:r>
      <w:r>
        <w:rPr>
          <w:rFonts w:ascii="Arial" w:hAnsi="Arial"/>
          <w:i/>
        </w:rPr>
        <w:t xml:space="preserve"> Loi de 2012 sur l'autoroute 407 Est.</w:t>
      </w:r>
    </w:p>
    <w:p w:rsidR="00D74560" w:rsidRDefault="00D74560" w:rsidP="00D74560">
      <w:pPr>
        <w:rPr>
          <w:rFonts w:ascii="Arial" w:hAnsi="Arial" w:cs="Arial"/>
        </w:rPr>
      </w:pPr>
    </w:p>
    <w:tbl>
      <w:tblPr>
        <w:tblW w:w="0" w:type="auto"/>
        <w:tblInd w:w="-6" w:type="dxa"/>
        <w:tblCellMar>
          <w:left w:w="0" w:type="dxa"/>
          <w:right w:w="0" w:type="dxa"/>
        </w:tblCellMar>
        <w:tblLook w:val="04A0" w:firstRow="1" w:lastRow="0" w:firstColumn="1" w:lastColumn="0" w:noHBand="0" w:noVBand="1"/>
      </w:tblPr>
      <w:tblGrid>
        <w:gridCol w:w="2808"/>
        <w:gridCol w:w="1417"/>
        <w:gridCol w:w="2554"/>
        <w:gridCol w:w="2083"/>
      </w:tblGrid>
      <w:tr w:rsidR="00D74560" w:rsidRPr="0038796A" w:rsidTr="006B453E">
        <w:trPr>
          <w:trHeight w:val="519"/>
        </w:trPr>
        <w:tc>
          <w:tcPr>
            <w:tcW w:w="280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b/>
                <w:bCs/>
                <w:sz w:val="22"/>
                <w:szCs w:val="22"/>
              </w:rPr>
            </w:pPr>
            <w:r>
              <w:rPr>
                <w:rFonts w:ascii="Arial" w:hAnsi="Arial"/>
                <w:b/>
              </w:rPr>
              <w:t>Jour du déplacement</w:t>
            </w:r>
          </w:p>
        </w:tc>
        <w:tc>
          <w:tcPr>
            <w:tcW w:w="141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b/>
                <w:bCs/>
                <w:sz w:val="22"/>
                <w:szCs w:val="22"/>
              </w:rPr>
            </w:pPr>
            <w:r>
              <w:rPr>
                <w:rFonts w:ascii="Arial" w:hAnsi="Arial"/>
                <w:b/>
              </w:rPr>
              <w:t>Montant du péage ($/km)</w:t>
            </w:r>
          </w:p>
        </w:tc>
        <w:tc>
          <w:tcPr>
            <w:tcW w:w="2554" w:type="dxa"/>
            <w:tcBorders>
              <w:top w:val="single" w:sz="8" w:space="0" w:color="auto"/>
              <w:left w:val="nil"/>
              <w:bottom w:val="single" w:sz="8" w:space="0" w:color="auto"/>
              <w:right w:val="single" w:sz="8" w:space="0" w:color="auto"/>
            </w:tcBorders>
            <w:shd w:val="clear" w:color="auto" w:fill="D9D9D9"/>
            <w:hideMark/>
          </w:tcPr>
          <w:p w:rsidR="00D74560" w:rsidRPr="0038796A" w:rsidRDefault="00D74560" w:rsidP="006B453E">
            <w:pPr>
              <w:spacing w:after="200" w:line="276" w:lineRule="auto"/>
              <w:jc w:val="center"/>
              <w:rPr>
                <w:rFonts w:ascii="Arial" w:eastAsiaTheme="minorHAnsi" w:hAnsi="Arial" w:cs="Arial"/>
                <w:b/>
                <w:bCs/>
                <w:sz w:val="22"/>
                <w:szCs w:val="22"/>
              </w:rPr>
            </w:pPr>
            <w:r>
              <w:rPr>
                <w:rFonts w:ascii="Arial" w:hAnsi="Arial"/>
                <w:b/>
              </w:rPr>
              <w:t xml:space="preserve">Périodes </w:t>
            </w:r>
            <w:proofErr w:type="gramStart"/>
            <w:r>
              <w:rPr>
                <w:rFonts w:ascii="Arial" w:hAnsi="Arial"/>
                <w:b/>
              </w:rPr>
              <w:t>visées</w:t>
            </w:r>
            <w:proofErr w:type="gramEnd"/>
            <w:r>
              <w:rPr>
                <w:rFonts w:ascii="Arial" w:hAnsi="Arial" w:cs="Arial"/>
                <w:b/>
                <w:bCs/>
              </w:rPr>
              <w:br/>
            </w:r>
            <w:r>
              <w:rPr>
                <w:rFonts w:ascii="Arial" w:hAnsi="Arial"/>
                <w:b/>
              </w:rPr>
              <w:t>(notation anglaise)</w:t>
            </w:r>
          </w:p>
        </w:tc>
        <w:tc>
          <w:tcPr>
            <w:tcW w:w="208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b/>
                <w:bCs/>
                <w:sz w:val="22"/>
                <w:szCs w:val="22"/>
              </w:rPr>
            </w:pPr>
            <w:r>
              <w:rPr>
                <w:rFonts w:ascii="Arial" w:hAnsi="Arial"/>
                <w:b/>
              </w:rPr>
              <w:t xml:space="preserve">Périodes </w:t>
            </w:r>
            <w:proofErr w:type="gramStart"/>
            <w:r>
              <w:rPr>
                <w:rFonts w:ascii="Arial" w:hAnsi="Arial"/>
                <w:b/>
              </w:rPr>
              <w:t>visées</w:t>
            </w:r>
            <w:proofErr w:type="gramEnd"/>
            <w:r>
              <w:rPr>
                <w:rFonts w:ascii="Arial" w:hAnsi="Arial" w:cs="Arial"/>
                <w:b/>
                <w:bCs/>
              </w:rPr>
              <w:br/>
            </w:r>
            <w:r>
              <w:rPr>
                <w:rFonts w:ascii="Arial" w:hAnsi="Arial"/>
                <w:b/>
              </w:rPr>
              <w:t>(notation 24 heures)</w:t>
            </w:r>
          </w:p>
        </w:tc>
      </w:tr>
      <w:tr w:rsidR="00D74560" w:rsidRPr="0038796A" w:rsidTr="006B453E">
        <w:trPr>
          <w:trHeight w:val="57"/>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Période de pointe</w:t>
            </w:r>
            <w:r>
              <w:rPr>
                <w:rFonts w:ascii="Arial" w:hAnsi="Arial" w:cs="Arial"/>
              </w:rPr>
              <w:br/>
            </w:r>
            <w:r>
              <w:rPr>
                <w:rFonts w:ascii="Arial" w:hAnsi="Arial"/>
              </w:rPr>
              <w:t>en semaine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0,29</w:t>
            </w:r>
          </w:p>
        </w:tc>
        <w:tc>
          <w:tcPr>
            <w:tcW w:w="2554" w:type="dxa"/>
            <w:tcBorders>
              <w:top w:val="nil"/>
              <w:left w:val="nil"/>
              <w:bottom w:val="single" w:sz="8" w:space="0" w:color="auto"/>
              <w:right w:val="single" w:sz="8" w:space="0" w:color="auto"/>
            </w:tcBorders>
            <w:hideMark/>
          </w:tcPr>
          <w:p w:rsidR="00D74560" w:rsidRPr="00B91D55" w:rsidRDefault="00D74560" w:rsidP="006B453E">
            <w:pPr>
              <w:spacing w:after="200" w:line="276" w:lineRule="auto"/>
              <w:jc w:val="center"/>
              <w:rPr>
                <w:rFonts w:ascii="Arial" w:eastAsiaTheme="minorHAnsi" w:hAnsi="Arial" w:cs="Arial"/>
                <w:sz w:val="22"/>
                <w:szCs w:val="22"/>
                <w:lang w:val="en-US"/>
              </w:rPr>
            </w:pPr>
            <w:r w:rsidRPr="00B91D55">
              <w:rPr>
                <w:rFonts w:ascii="Arial" w:hAnsi="Arial"/>
                <w:lang w:val="en-US"/>
              </w:rPr>
              <w:t>6:00 a.m. à 10:00 a.m.</w:t>
            </w:r>
            <w:r w:rsidRPr="00B91D55">
              <w:rPr>
                <w:rFonts w:ascii="Arial" w:hAnsi="Arial" w:cs="Arial"/>
                <w:lang w:val="en-US"/>
              </w:rPr>
              <w:br/>
            </w:r>
            <w:r w:rsidRPr="00B91D55">
              <w:rPr>
                <w:rFonts w:ascii="Arial" w:hAnsi="Arial"/>
                <w:lang w:val="en-US"/>
              </w:rPr>
              <w:t>3:00 p.m. à 7:00 p.m.</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6 h à 10 h</w:t>
            </w:r>
            <w:r>
              <w:rPr>
                <w:rFonts w:ascii="Arial" w:hAnsi="Arial" w:cs="Arial"/>
              </w:rPr>
              <w:br/>
            </w:r>
            <w:r>
              <w:rPr>
                <w:rFonts w:ascii="Arial" w:hAnsi="Arial"/>
              </w:rPr>
              <w:t>15 h à 19 h</w:t>
            </w:r>
          </w:p>
        </w:tc>
      </w:tr>
      <w:tr w:rsidR="00D74560" w:rsidRPr="0038796A" w:rsidTr="006B453E">
        <w:trPr>
          <w:trHeight w:val="57"/>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Mi-journée</w:t>
            </w:r>
            <w:r>
              <w:rPr>
                <w:rFonts w:ascii="Arial" w:hAnsi="Arial" w:cs="Arial"/>
              </w:rPr>
              <w:br/>
            </w:r>
            <w:r>
              <w:rPr>
                <w:rFonts w:ascii="Arial" w:hAnsi="Arial"/>
              </w:rPr>
              <w:t>en semaine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0,23</w:t>
            </w:r>
          </w:p>
        </w:tc>
        <w:tc>
          <w:tcPr>
            <w:tcW w:w="2554" w:type="dxa"/>
            <w:tcBorders>
              <w:top w:val="nil"/>
              <w:left w:val="nil"/>
              <w:bottom w:val="single" w:sz="8" w:space="0" w:color="auto"/>
              <w:right w:val="single" w:sz="8" w:space="0" w:color="auto"/>
            </w:tcBorders>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 xml:space="preserve">10:00 </w:t>
            </w:r>
            <w:proofErr w:type="spellStart"/>
            <w:r>
              <w:rPr>
                <w:rFonts w:ascii="Arial" w:hAnsi="Arial"/>
              </w:rPr>
              <w:t>a.m</w:t>
            </w:r>
            <w:proofErr w:type="spellEnd"/>
            <w:r>
              <w:rPr>
                <w:rFonts w:ascii="Arial" w:hAnsi="Arial"/>
              </w:rPr>
              <w:t>. à 3:00 p.m.</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10 h à 15 h</w:t>
            </w:r>
          </w:p>
        </w:tc>
      </w:tr>
      <w:tr w:rsidR="00D74560" w:rsidRPr="0038796A" w:rsidTr="006B453E">
        <w:trPr>
          <w:trHeight w:val="57"/>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Période hors pointe</w:t>
            </w:r>
            <w:r>
              <w:rPr>
                <w:rFonts w:ascii="Arial" w:hAnsi="Arial" w:cs="Arial"/>
              </w:rPr>
              <w:br/>
            </w:r>
            <w:r>
              <w:rPr>
                <w:rFonts w:ascii="Arial" w:hAnsi="Arial"/>
              </w:rPr>
              <w:t>en semaine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0,19</w:t>
            </w:r>
          </w:p>
        </w:tc>
        <w:tc>
          <w:tcPr>
            <w:tcW w:w="2554" w:type="dxa"/>
            <w:tcBorders>
              <w:top w:val="nil"/>
              <w:left w:val="nil"/>
              <w:bottom w:val="single" w:sz="8" w:space="0" w:color="auto"/>
              <w:right w:val="single" w:sz="8" w:space="0" w:color="auto"/>
            </w:tcBorders>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 xml:space="preserve">7:00 p.m. à 6:00 </w:t>
            </w:r>
            <w:proofErr w:type="spellStart"/>
            <w:r>
              <w:rPr>
                <w:rFonts w:ascii="Arial" w:hAnsi="Arial"/>
              </w:rPr>
              <w:t>a.m</w:t>
            </w:r>
            <w:proofErr w:type="spellEnd"/>
            <w:r>
              <w:rPr>
                <w:rFonts w:ascii="Arial" w:hAnsi="Arial"/>
              </w:rPr>
              <w:t>.</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19 h à 6 h</w:t>
            </w:r>
          </w:p>
        </w:tc>
      </w:tr>
      <w:tr w:rsidR="00D74560" w:rsidRPr="0038796A" w:rsidTr="006B453E">
        <w:trPr>
          <w:trHeight w:val="57"/>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Mi-journée</w:t>
            </w:r>
            <w:r>
              <w:rPr>
                <w:rFonts w:ascii="Arial" w:hAnsi="Arial" w:cs="Arial"/>
              </w:rPr>
              <w:br/>
            </w:r>
            <w:r>
              <w:rPr>
                <w:rFonts w:ascii="Arial" w:hAnsi="Arial"/>
              </w:rPr>
              <w:t>Fins de semaine et jours fériés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0,22</w:t>
            </w:r>
          </w:p>
        </w:tc>
        <w:tc>
          <w:tcPr>
            <w:tcW w:w="2554" w:type="dxa"/>
            <w:tcBorders>
              <w:top w:val="nil"/>
              <w:left w:val="nil"/>
              <w:bottom w:val="single" w:sz="8" w:space="0" w:color="auto"/>
              <w:right w:val="single" w:sz="8" w:space="0" w:color="auto"/>
            </w:tcBorders>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 xml:space="preserve">11:00 </w:t>
            </w:r>
            <w:proofErr w:type="spellStart"/>
            <w:r>
              <w:rPr>
                <w:rFonts w:ascii="Arial" w:hAnsi="Arial"/>
              </w:rPr>
              <w:t>a.m</w:t>
            </w:r>
            <w:bookmarkStart w:id="0" w:name="_GoBack"/>
            <w:bookmarkEnd w:id="0"/>
            <w:proofErr w:type="spellEnd"/>
            <w:r>
              <w:rPr>
                <w:rFonts w:ascii="Arial" w:hAnsi="Arial"/>
              </w:rPr>
              <w:t>. à 7:00 p.m.</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11 h à 19 h</w:t>
            </w:r>
          </w:p>
        </w:tc>
      </w:tr>
      <w:tr w:rsidR="00D74560" w:rsidRPr="0038796A" w:rsidTr="006B453E">
        <w:trPr>
          <w:trHeight w:val="57"/>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Période hors pointe</w:t>
            </w:r>
            <w:r>
              <w:rPr>
                <w:rFonts w:ascii="Arial" w:hAnsi="Arial" w:cs="Arial"/>
              </w:rPr>
              <w:br/>
            </w:r>
            <w:r>
              <w:rPr>
                <w:rFonts w:ascii="Arial" w:hAnsi="Arial"/>
              </w:rPr>
              <w:t>Fins de semaine et jours fériés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0,19</w:t>
            </w:r>
          </w:p>
        </w:tc>
        <w:tc>
          <w:tcPr>
            <w:tcW w:w="2554" w:type="dxa"/>
            <w:tcBorders>
              <w:top w:val="nil"/>
              <w:left w:val="nil"/>
              <w:bottom w:val="single" w:sz="8" w:space="0" w:color="auto"/>
              <w:right w:val="single" w:sz="8" w:space="0" w:color="auto"/>
            </w:tcBorders>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 xml:space="preserve">7:00 p.m. à 11:00 </w:t>
            </w:r>
            <w:proofErr w:type="spellStart"/>
            <w:r>
              <w:rPr>
                <w:rFonts w:ascii="Arial" w:hAnsi="Arial"/>
              </w:rPr>
              <w:t>a.m</w:t>
            </w:r>
            <w:proofErr w:type="spellEnd"/>
            <w:r>
              <w:rPr>
                <w:rFonts w:ascii="Arial" w:hAnsi="Arial"/>
              </w:rPr>
              <w:t>.</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D74560" w:rsidRPr="0038796A" w:rsidRDefault="00D74560" w:rsidP="006B453E">
            <w:pPr>
              <w:spacing w:after="200" w:line="276" w:lineRule="auto"/>
              <w:jc w:val="center"/>
              <w:rPr>
                <w:rFonts w:ascii="Arial" w:eastAsiaTheme="minorHAnsi" w:hAnsi="Arial" w:cs="Arial"/>
                <w:sz w:val="22"/>
                <w:szCs w:val="22"/>
              </w:rPr>
            </w:pPr>
            <w:r>
              <w:rPr>
                <w:rFonts w:ascii="Arial" w:hAnsi="Arial"/>
              </w:rPr>
              <w:t>19 h à 11 h</w:t>
            </w:r>
          </w:p>
        </w:tc>
      </w:tr>
    </w:tbl>
    <w:p w:rsidR="00D74560" w:rsidRDefault="00D74560" w:rsidP="00D74560">
      <w:pPr>
        <w:rPr>
          <w:rFonts w:ascii="Arial" w:hAnsi="Arial" w:cs="Arial"/>
        </w:rPr>
      </w:pPr>
    </w:p>
    <w:p w:rsidR="00D74560" w:rsidRDefault="00D74560" w:rsidP="00D74560">
      <w:pPr>
        <w:rPr>
          <w:rFonts w:ascii="Arial" w:hAnsi="Arial" w:cs="Arial"/>
        </w:rPr>
      </w:pPr>
      <w:r>
        <w:rPr>
          <w:rFonts w:ascii="Arial" w:hAnsi="Arial"/>
        </w:rPr>
        <w:t>Les camions porteurs lourds et les véhicules utilitaires à unités multiples lourds devront payer deux ou trois fois le montant établi pour les véhicules de tourisme, selon la taille du véhicule utilitaire.</w:t>
      </w:r>
    </w:p>
    <w:p w:rsidR="00D74560" w:rsidRDefault="00D74560" w:rsidP="00D74560">
      <w:pPr>
        <w:rPr>
          <w:rFonts w:ascii="Arial" w:hAnsi="Arial" w:cs="Arial"/>
        </w:rPr>
      </w:pPr>
    </w:p>
    <w:p w:rsidR="00D74560" w:rsidRDefault="00D74560" w:rsidP="00D74560">
      <w:pPr>
        <w:rPr>
          <w:rFonts w:ascii="Arial" w:hAnsi="Arial" w:cs="Arial"/>
        </w:rPr>
      </w:pPr>
      <w:r>
        <w:rPr>
          <w:rFonts w:ascii="Arial" w:hAnsi="Arial"/>
        </w:rPr>
        <w:t>Si le règlement est adopté, les montants ci-dessus seront en vigueur jusqu'au 31 mai 2017, sauf si le gouvernement adopte avant cette date un règlement établissant un montant différent.</w:t>
      </w:r>
    </w:p>
    <w:p w:rsidR="00D74560" w:rsidRDefault="00D74560" w:rsidP="00D74560">
      <w:pPr>
        <w:rPr>
          <w:rFonts w:ascii="Arial" w:hAnsi="Arial" w:cs="Arial"/>
        </w:rPr>
      </w:pPr>
    </w:p>
    <w:p w:rsidR="00D74560" w:rsidRPr="00255934" w:rsidRDefault="00D74560" w:rsidP="00D74560">
      <w:pPr>
        <w:rPr>
          <w:rFonts w:ascii="Arial" w:hAnsi="Arial" w:cs="Arial"/>
          <w:b/>
        </w:rPr>
      </w:pPr>
      <w:r>
        <w:rPr>
          <w:rFonts w:ascii="Arial" w:hAnsi="Arial"/>
          <w:b/>
        </w:rPr>
        <w:t>Renseignements personnels à divulguer au fournisseur de services de péage du MTO – articles 15 et 17</w:t>
      </w:r>
    </w:p>
    <w:p w:rsidR="00D74560" w:rsidRDefault="00D74560" w:rsidP="00D74560">
      <w:pPr>
        <w:jc w:val="center"/>
        <w:rPr>
          <w:rFonts w:ascii="Arial" w:hAnsi="Arial" w:cs="Arial"/>
        </w:rPr>
      </w:pPr>
    </w:p>
    <w:p w:rsidR="00D74560" w:rsidRDefault="00D74560" w:rsidP="00D74560">
      <w:pPr>
        <w:rPr>
          <w:rFonts w:ascii="Arial" w:hAnsi="Arial" w:cs="Arial"/>
        </w:rPr>
      </w:pPr>
      <w:r>
        <w:rPr>
          <w:rFonts w:ascii="Arial" w:hAnsi="Arial"/>
        </w:rPr>
        <w:t xml:space="preserve">L'article 15 de la </w:t>
      </w:r>
      <w:r w:rsidRPr="00B91D55">
        <w:rPr>
          <w:rFonts w:ascii="Arial" w:hAnsi="Arial"/>
          <w:i/>
        </w:rPr>
        <w:t>Loi de 2012 sur l'autoroute 407 Est</w:t>
      </w:r>
      <w:r>
        <w:rPr>
          <w:rFonts w:ascii="Arial" w:hAnsi="Arial"/>
        </w:rPr>
        <w:t xml:space="preserve"> stipule que le MTO peut divulguer, à une fin visée au paragraphe 15 (4), les noms et adresses des personnes redevables du paiement des péages à son fournisseur de services de péage.</w:t>
      </w:r>
    </w:p>
    <w:p w:rsidR="00D74560" w:rsidRDefault="00D74560" w:rsidP="00D74560">
      <w:pPr>
        <w:rPr>
          <w:rFonts w:ascii="Arial" w:hAnsi="Arial" w:cs="Arial"/>
        </w:rPr>
      </w:pPr>
    </w:p>
    <w:p w:rsidR="00D74560" w:rsidRDefault="00D74560" w:rsidP="00D74560">
      <w:pPr>
        <w:rPr>
          <w:rFonts w:ascii="Arial" w:hAnsi="Arial" w:cs="Arial"/>
        </w:rPr>
      </w:pPr>
      <w:r>
        <w:rPr>
          <w:rFonts w:ascii="Arial" w:hAnsi="Arial"/>
        </w:rPr>
        <w:t>Afin de favoriser un service à la clientèle fluide pour les utilisateurs de l'autoroute 407 ETR et de l'autoroute 407 Est, le MTO propose un règlement qui l'autorise à divulguer les renseignements personnels supplémentaires suivants sur les personnes redevables du paiement des péages au fournisseur de services :</w:t>
      </w:r>
    </w:p>
    <w:p w:rsidR="00D74560" w:rsidRPr="00591CEA" w:rsidRDefault="00D74560" w:rsidP="00D74560">
      <w:pPr>
        <w:pStyle w:val="paragraph-e"/>
        <w:numPr>
          <w:ilvl w:val="0"/>
          <w:numId w:val="1"/>
        </w:numPr>
        <w:rPr>
          <w:rFonts w:ascii="Arial" w:hAnsi="Arial" w:cs="Arial"/>
        </w:rPr>
      </w:pPr>
      <w:r>
        <w:rPr>
          <w:rFonts w:ascii="Arial" w:hAnsi="Arial"/>
        </w:rPr>
        <w:t>la date d'expiration du permis du véhicule de la personne;</w:t>
      </w:r>
    </w:p>
    <w:p w:rsidR="00D74560" w:rsidRDefault="00D74560" w:rsidP="00D74560">
      <w:pPr>
        <w:pStyle w:val="paragraph-e"/>
        <w:numPr>
          <w:ilvl w:val="0"/>
          <w:numId w:val="1"/>
        </w:numPr>
      </w:pPr>
      <w:r>
        <w:rPr>
          <w:rFonts w:ascii="Arial" w:hAnsi="Arial"/>
        </w:rPr>
        <w:t>le numéro de permis de conduire de la personne ou le numéro qui lui a été attribué par le MTO pour identifier les plaques d'immatriculation ou les véhicules enregistrés au nom de cette personne</w:t>
      </w:r>
      <w:r>
        <w:t xml:space="preserve">. </w:t>
      </w:r>
    </w:p>
    <w:p w:rsidR="00D74560" w:rsidRPr="001F76A8" w:rsidRDefault="00D74560" w:rsidP="00D74560">
      <w:pPr>
        <w:pStyle w:val="paragraph-e"/>
        <w:rPr>
          <w:rFonts w:ascii="Arial" w:hAnsi="Arial" w:cs="Arial"/>
        </w:rPr>
      </w:pPr>
      <w:r>
        <w:rPr>
          <w:rFonts w:ascii="Arial" w:hAnsi="Arial"/>
        </w:rPr>
        <w:t xml:space="preserve">Ces renseignements correspondraient à ceux qui sont actuellement fournis à 407 ETR en vertu de la </w:t>
      </w:r>
      <w:r>
        <w:rPr>
          <w:rFonts w:ascii="Arial" w:hAnsi="Arial"/>
          <w:i/>
        </w:rPr>
        <w:t>Loi de 1998 sur l'autoroute 407</w:t>
      </w:r>
      <w:r>
        <w:rPr>
          <w:rFonts w:ascii="Arial" w:hAnsi="Arial"/>
        </w:rPr>
        <w:t>.</w:t>
      </w:r>
    </w:p>
    <w:p w:rsidR="00D74560" w:rsidRDefault="00D74560" w:rsidP="00D74560">
      <w:pPr>
        <w:rPr>
          <w:rFonts w:ascii="Arial" w:hAnsi="Arial" w:cs="Arial"/>
        </w:rPr>
      </w:pPr>
      <w:r>
        <w:rPr>
          <w:rFonts w:ascii="Arial" w:hAnsi="Arial"/>
          <w:b/>
        </w:rPr>
        <w:t>Exemption de l'obligation de payer les péages – articles 3 et 18</w:t>
      </w:r>
    </w:p>
    <w:p w:rsidR="00D74560" w:rsidRDefault="00D74560" w:rsidP="00D74560">
      <w:pPr>
        <w:rPr>
          <w:rFonts w:ascii="Arial" w:hAnsi="Arial" w:cs="Arial"/>
        </w:rPr>
      </w:pPr>
    </w:p>
    <w:p w:rsidR="00D74560" w:rsidRDefault="00D74560" w:rsidP="00D74560">
      <w:pPr>
        <w:rPr>
          <w:rFonts w:ascii="Arial" w:hAnsi="Arial" w:cs="Arial"/>
        </w:rPr>
      </w:pPr>
      <w:r>
        <w:rPr>
          <w:rFonts w:ascii="Arial" w:hAnsi="Arial"/>
        </w:rPr>
        <w:t>Le MTO propose d'exempter les catégories de véhicules suivantes de l'obligation de payer les péages :</w:t>
      </w:r>
    </w:p>
    <w:p w:rsidR="00D74560" w:rsidRDefault="00D74560" w:rsidP="00D74560">
      <w:pPr>
        <w:rPr>
          <w:rFonts w:ascii="Arial" w:hAnsi="Arial" w:cs="Arial"/>
        </w:rPr>
      </w:pPr>
    </w:p>
    <w:p w:rsidR="00D74560" w:rsidRDefault="00D74560" w:rsidP="00D74560">
      <w:pPr>
        <w:pStyle w:val="ListParagraph"/>
        <w:numPr>
          <w:ilvl w:val="0"/>
          <w:numId w:val="1"/>
        </w:numPr>
        <w:rPr>
          <w:rFonts w:ascii="Arial" w:hAnsi="Arial" w:cs="Arial"/>
        </w:rPr>
      </w:pPr>
      <w:r>
        <w:rPr>
          <w:rFonts w:ascii="Arial" w:hAnsi="Arial"/>
        </w:rPr>
        <w:t xml:space="preserve">les véhicules d'urgence; </w:t>
      </w:r>
    </w:p>
    <w:p w:rsidR="00D74560" w:rsidRDefault="00D74560" w:rsidP="00D74560">
      <w:pPr>
        <w:pStyle w:val="ListParagraph"/>
        <w:numPr>
          <w:ilvl w:val="0"/>
          <w:numId w:val="1"/>
        </w:numPr>
        <w:rPr>
          <w:rFonts w:ascii="Arial" w:hAnsi="Arial" w:cs="Arial"/>
        </w:rPr>
      </w:pPr>
      <w:r>
        <w:rPr>
          <w:rFonts w:ascii="Arial" w:hAnsi="Arial"/>
        </w:rPr>
        <w:t xml:space="preserve">les véhicules de police; </w:t>
      </w:r>
    </w:p>
    <w:p w:rsidR="00D74560" w:rsidRDefault="00D74560" w:rsidP="00D74560">
      <w:pPr>
        <w:pStyle w:val="ListParagraph"/>
        <w:numPr>
          <w:ilvl w:val="0"/>
          <w:numId w:val="1"/>
        </w:numPr>
        <w:rPr>
          <w:rFonts w:ascii="Arial" w:hAnsi="Arial" w:cs="Arial"/>
        </w:rPr>
      </w:pPr>
      <w:r>
        <w:rPr>
          <w:rFonts w:ascii="Arial" w:hAnsi="Arial"/>
        </w:rPr>
        <w:t xml:space="preserve">les véhicules de service provinciaux (p. ex., véhicules des services de la Fonction publique de l'Ontario chargés de l’exécution de la loi); </w:t>
      </w:r>
    </w:p>
    <w:p w:rsidR="00D74560" w:rsidRDefault="00D74560" w:rsidP="00D74560">
      <w:pPr>
        <w:pStyle w:val="ListParagraph"/>
        <w:numPr>
          <w:ilvl w:val="0"/>
          <w:numId w:val="1"/>
        </w:numPr>
        <w:rPr>
          <w:rFonts w:ascii="Arial" w:hAnsi="Arial" w:cs="Arial"/>
        </w:rPr>
      </w:pPr>
      <w:r>
        <w:rPr>
          <w:rFonts w:ascii="Arial" w:hAnsi="Arial"/>
        </w:rPr>
        <w:t>les véhicules portant une plaque diplomatique;</w:t>
      </w:r>
    </w:p>
    <w:p w:rsidR="00D74560" w:rsidRPr="00AB6151" w:rsidRDefault="00D74560" w:rsidP="00D74560">
      <w:pPr>
        <w:pStyle w:val="ListParagraph"/>
        <w:numPr>
          <w:ilvl w:val="0"/>
          <w:numId w:val="1"/>
        </w:numPr>
        <w:rPr>
          <w:rFonts w:ascii="Arial" w:hAnsi="Arial" w:cs="Arial"/>
        </w:rPr>
      </w:pPr>
      <w:r>
        <w:rPr>
          <w:rFonts w:ascii="Arial" w:hAnsi="Arial"/>
        </w:rPr>
        <w:t>les véhicules d'entretien de fournisseurs de services (p. ex., les véhicules d'entretien du fournisseur de services de péage).</w:t>
      </w:r>
    </w:p>
    <w:p w:rsidR="00D74560" w:rsidRDefault="00D74560" w:rsidP="00D74560">
      <w:pPr>
        <w:rPr>
          <w:rFonts w:ascii="Arial" w:hAnsi="Arial" w:cs="Arial"/>
        </w:rPr>
      </w:pPr>
    </w:p>
    <w:p w:rsidR="00D74560" w:rsidRDefault="00D74560" w:rsidP="00D74560">
      <w:pPr>
        <w:rPr>
          <w:rFonts w:ascii="Arial" w:hAnsi="Arial" w:cs="Arial"/>
        </w:rPr>
      </w:pPr>
    </w:p>
    <w:p w:rsidR="00D74560" w:rsidRDefault="00D74560" w:rsidP="00D74560">
      <w:pPr>
        <w:rPr>
          <w:rFonts w:ascii="Arial" w:hAnsi="Arial" w:cs="Arial"/>
        </w:rPr>
      </w:pPr>
      <w:r>
        <w:rPr>
          <w:rFonts w:ascii="Arial" w:hAnsi="Arial"/>
          <w:b/>
        </w:rPr>
        <w:t>Taux d'intérêt pour les comptes en souffrance – articles 4 et 18</w:t>
      </w:r>
    </w:p>
    <w:p w:rsidR="00D74560" w:rsidRDefault="00D74560" w:rsidP="00D74560">
      <w:pPr>
        <w:rPr>
          <w:rFonts w:ascii="Arial" w:hAnsi="Arial" w:cs="Arial"/>
        </w:rPr>
      </w:pPr>
    </w:p>
    <w:p w:rsidR="00D74560" w:rsidRDefault="00D74560" w:rsidP="00D74560">
      <w:pPr>
        <w:rPr>
          <w:rFonts w:ascii="Arial" w:hAnsi="Arial" w:cs="Arial"/>
        </w:rPr>
      </w:pPr>
      <w:r>
        <w:rPr>
          <w:rFonts w:ascii="Arial" w:hAnsi="Arial"/>
        </w:rPr>
        <w:t xml:space="preserve">La </w:t>
      </w:r>
      <w:r>
        <w:rPr>
          <w:rFonts w:ascii="Arial" w:hAnsi="Arial"/>
          <w:i/>
        </w:rPr>
        <w:t>Loi de 1998 sur l'autoroute 407</w:t>
      </w:r>
      <w:r>
        <w:rPr>
          <w:rFonts w:ascii="Arial" w:hAnsi="Arial"/>
        </w:rPr>
        <w:t xml:space="preserve"> fixe le taux d'intérêt pour les comptes en souffrance au taux d'intérêt maximal fixé pour les montants dus au gouvernement. Ce taux est actuellement de 3 %. </w:t>
      </w:r>
    </w:p>
    <w:p w:rsidR="00D74560" w:rsidRDefault="00D74560" w:rsidP="00D74560">
      <w:pPr>
        <w:rPr>
          <w:rFonts w:ascii="Arial" w:hAnsi="Arial" w:cs="Arial"/>
        </w:rPr>
      </w:pPr>
    </w:p>
    <w:p w:rsidR="00D74560" w:rsidRDefault="00D74560" w:rsidP="00D74560">
      <w:pPr>
        <w:rPr>
          <w:rFonts w:ascii="Arial" w:hAnsi="Arial" w:cs="Arial"/>
        </w:rPr>
      </w:pPr>
      <w:r>
        <w:rPr>
          <w:rFonts w:ascii="Arial" w:hAnsi="Arial"/>
        </w:rPr>
        <w:t>Afin d'appuyer le paiement rapide des factures en souffrance, le MTO peut créer un règlement et substituer le taux pour un autre. Le MTO envisage un taux d'intérêt de 18 % pour les comptes en souffrance.</w:t>
      </w:r>
    </w:p>
    <w:p w:rsidR="00D74560" w:rsidRDefault="00D74560" w:rsidP="00D74560">
      <w:pPr>
        <w:rPr>
          <w:rFonts w:ascii="Arial" w:hAnsi="Arial" w:cs="Arial"/>
        </w:rPr>
      </w:pPr>
    </w:p>
    <w:p w:rsidR="00D74560" w:rsidRDefault="00D74560" w:rsidP="00D74560">
      <w:pPr>
        <w:rPr>
          <w:rFonts w:ascii="Arial" w:hAnsi="Arial" w:cs="Arial"/>
          <w:color w:val="000000"/>
        </w:rPr>
      </w:pPr>
      <w:r>
        <w:rPr>
          <w:rFonts w:ascii="Arial" w:hAnsi="Arial"/>
          <w:b/>
          <w:color w:val="000000"/>
        </w:rPr>
        <w:t>Modes d’envoi des factures, avis et autres documents – articles 4, 5, 6, 8, 11 et 18</w:t>
      </w:r>
    </w:p>
    <w:p w:rsidR="00D74560" w:rsidRDefault="00D74560" w:rsidP="00D74560">
      <w:pPr>
        <w:rPr>
          <w:rFonts w:ascii="Arial" w:hAnsi="Arial" w:cs="Arial"/>
          <w:color w:val="000000"/>
        </w:rPr>
      </w:pPr>
    </w:p>
    <w:p w:rsidR="00D74560" w:rsidRPr="00C532BF" w:rsidRDefault="00D74560" w:rsidP="00D74560">
      <w:pPr>
        <w:rPr>
          <w:rFonts w:ascii="Arial" w:hAnsi="Arial" w:cs="Arial"/>
        </w:rPr>
      </w:pPr>
      <w:r>
        <w:rPr>
          <w:rFonts w:ascii="Arial" w:hAnsi="Arial"/>
          <w:color w:val="000000"/>
        </w:rPr>
        <w:t xml:space="preserve">La </w:t>
      </w:r>
      <w:r>
        <w:rPr>
          <w:rFonts w:ascii="Arial" w:hAnsi="Arial"/>
          <w:i/>
        </w:rPr>
        <w:t>Loi de 1998 sur l'autoroute 407</w:t>
      </w:r>
      <w:r>
        <w:rPr>
          <w:rFonts w:ascii="Arial" w:hAnsi="Arial"/>
          <w:color w:val="000000"/>
        </w:rPr>
        <w:t xml:space="preserve"> contient un certain nombre de dispositions relatives à l'envoi et à la réception de factures et d'avis. Le MTO propose de créer un règlement qui détermine et gouverne les modes d'envoi d'avis et de factures, et envisage les modes (p. ex., courrier ordinaire, courriel, courrier </w:t>
      </w:r>
      <w:r>
        <w:rPr>
          <w:rFonts w:ascii="Arial" w:hAnsi="Arial"/>
          <w:color w:val="000000"/>
        </w:rPr>
        <w:lastRenderedPageBreak/>
        <w:t>recommandé, messagerie, etc.) qui s'appliqueraient à des dispositions particulières relatives aux avis et au nombre de jours après lesquels un avis est présumé avoir été reçu.</w:t>
      </w:r>
    </w:p>
    <w:p w:rsidR="001D0084" w:rsidRDefault="00CD09A1"/>
    <w:sectPr w:rsidR="001D008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DA" w:rsidRDefault="002814DA" w:rsidP="002814DA">
      <w:r>
        <w:separator/>
      </w:r>
    </w:p>
  </w:endnote>
  <w:endnote w:type="continuationSeparator" w:id="0">
    <w:p w:rsidR="002814DA" w:rsidRDefault="002814DA" w:rsidP="0028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65" w:rsidRDefault="00CD0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65" w:rsidRDefault="00CD09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65" w:rsidRDefault="00CD0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DA" w:rsidRDefault="002814DA" w:rsidP="002814DA">
      <w:r>
        <w:separator/>
      </w:r>
    </w:p>
  </w:footnote>
  <w:footnote w:type="continuationSeparator" w:id="0">
    <w:p w:rsidR="002814DA" w:rsidRDefault="002814DA" w:rsidP="00281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65" w:rsidRDefault="00CD0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65" w:rsidRDefault="00CD09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65" w:rsidRDefault="00CD0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94D21"/>
    <w:multiLevelType w:val="hybridMultilevel"/>
    <w:tmpl w:val="63AC3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60"/>
    <w:rsid w:val="002814DA"/>
    <w:rsid w:val="009955C7"/>
    <w:rsid w:val="00BD0ED3"/>
    <w:rsid w:val="00CD09A1"/>
    <w:rsid w:val="00D745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60"/>
    <w:pPr>
      <w:spacing w:after="0" w:line="240" w:lineRule="auto"/>
    </w:pPr>
    <w:rPr>
      <w:rFonts w:ascii="Times New Roman" w:eastAsia="Times New Roman" w:hAnsi="Times New Roman" w:cs="Times New Roman"/>
      <w:sz w:val="24"/>
      <w:szCs w:val="24"/>
      <w:lang w:val="fr-CA" w:eastAsia="fr-CA" w:bidi="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560"/>
    <w:pPr>
      <w:ind w:left="720"/>
      <w:contextualSpacing/>
    </w:pPr>
  </w:style>
  <w:style w:type="paragraph" w:customStyle="1" w:styleId="paragraph-e">
    <w:name w:val="paragraph-e"/>
    <w:basedOn w:val="Normal"/>
    <w:rsid w:val="00D74560"/>
    <w:pPr>
      <w:spacing w:before="100" w:beforeAutospacing="1" w:after="100" w:afterAutospacing="1"/>
    </w:pPr>
  </w:style>
  <w:style w:type="paragraph" w:styleId="Header">
    <w:name w:val="header"/>
    <w:basedOn w:val="Normal"/>
    <w:link w:val="HeaderChar"/>
    <w:rsid w:val="00D74560"/>
    <w:pPr>
      <w:tabs>
        <w:tab w:val="center" w:pos="4320"/>
        <w:tab w:val="right" w:pos="8640"/>
      </w:tabs>
    </w:pPr>
  </w:style>
  <w:style w:type="character" w:customStyle="1" w:styleId="HeaderChar">
    <w:name w:val="Header Char"/>
    <w:basedOn w:val="DefaultParagraphFont"/>
    <w:link w:val="Header"/>
    <w:rsid w:val="00D74560"/>
    <w:rPr>
      <w:rFonts w:ascii="Times New Roman" w:eastAsia="Times New Roman" w:hAnsi="Times New Roman" w:cs="Times New Roman"/>
      <w:sz w:val="24"/>
      <w:szCs w:val="24"/>
      <w:lang w:val="fr-CA" w:eastAsia="fr-CA" w:bidi="fr-CA"/>
    </w:rPr>
  </w:style>
  <w:style w:type="paragraph" w:styleId="Footer">
    <w:name w:val="footer"/>
    <w:basedOn w:val="Normal"/>
    <w:link w:val="FooterChar"/>
    <w:rsid w:val="00D74560"/>
    <w:pPr>
      <w:tabs>
        <w:tab w:val="center" w:pos="4320"/>
        <w:tab w:val="right" w:pos="8640"/>
      </w:tabs>
    </w:pPr>
  </w:style>
  <w:style w:type="character" w:customStyle="1" w:styleId="FooterChar">
    <w:name w:val="Footer Char"/>
    <w:basedOn w:val="DefaultParagraphFont"/>
    <w:link w:val="Footer"/>
    <w:rsid w:val="00D74560"/>
    <w:rPr>
      <w:rFonts w:ascii="Times New Roman" w:eastAsia="Times New Roman" w:hAnsi="Times New Roman" w:cs="Times New Roman"/>
      <w:sz w:val="24"/>
      <w:szCs w:val="24"/>
      <w:lang w:val="fr-CA" w:eastAsia="fr-CA" w:bidi="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60"/>
    <w:pPr>
      <w:spacing w:after="0" w:line="240" w:lineRule="auto"/>
    </w:pPr>
    <w:rPr>
      <w:rFonts w:ascii="Times New Roman" w:eastAsia="Times New Roman" w:hAnsi="Times New Roman" w:cs="Times New Roman"/>
      <w:sz w:val="24"/>
      <w:szCs w:val="24"/>
      <w:lang w:val="fr-CA" w:eastAsia="fr-CA" w:bidi="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560"/>
    <w:pPr>
      <w:ind w:left="720"/>
      <w:contextualSpacing/>
    </w:pPr>
  </w:style>
  <w:style w:type="paragraph" w:customStyle="1" w:styleId="paragraph-e">
    <w:name w:val="paragraph-e"/>
    <w:basedOn w:val="Normal"/>
    <w:rsid w:val="00D74560"/>
    <w:pPr>
      <w:spacing w:before="100" w:beforeAutospacing="1" w:after="100" w:afterAutospacing="1"/>
    </w:pPr>
  </w:style>
  <w:style w:type="paragraph" w:styleId="Header">
    <w:name w:val="header"/>
    <w:basedOn w:val="Normal"/>
    <w:link w:val="HeaderChar"/>
    <w:rsid w:val="00D74560"/>
    <w:pPr>
      <w:tabs>
        <w:tab w:val="center" w:pos="4320"/>
        <w:tab w:val="right" w:pos="8640"/>
      </w:tabs>
    </w:pPr>
  </w:style>
  <w:style w:type="character" w:customStyle="1" w:styleId="HeaderChar">
    <w:name w:val="Header Char"/>
    <w:basedOn w:val="DefaultParagraphFont"/>
    <w:link w:val="Header"/>
    <w:rsid w:val="00D74560"/>
    <w:rPr>
      <w:rFonts w:ascii="Times New Roman" w:eastAsia="Times New Roman" w:hAnsi="Times New Roman" w:cs="Times New Roman"/>
      <w:sz w:val="24"/>
      <w:szCs w:val="24"/>
      <w:lang w:val="fr-CA" w:eastAsia="fr-CA" w:bidi="fr-CA"/>
    </w:rPr>
  </w:style>
  <w:style w:type="paragraph" w:styleId="Footer">
    <w:name w:val="footer"/>
    <w:basedOn w:val="Normal"/>
    <w:link w:val="FooterChar"/>
    <w:rsid w:val="00D74560"/>
    <w:pPr>
      <w:tabs>
        <w:tab w:val="center" w:pos="4320"/>
        <w:tab w:val="right" w:pos="8640"/>
      </w:tabs>
    </w:pPr>
  </w:style>
  <w:style w:type="character" w:customStyle="1" w:styleId="FooterChar">
    <w:name w:val="Footer Char"/>
    <w:basedOn w:val="DefaultParagraphFont"/>
    <w:link w:val="Footer"/>
    <w:rsid w:val="00D74560"/>
    <w:rPr>
      <w:rFonts w:ascii="Times New Roman" w:eastAsia="Times New Roman" w:hAnsi="Times New Roman" w:cs="Times New Roman"/>
      <w:sz w:val="24"/>
      <w:szCs w:val="24"/>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2015-02-20T16:19:00Z</dcterms:created>
  <dcterms:modified xsi:type="dcterms:W3CDTF">2015-02-20T16:38:00Z</dcterms:modified>
</cp:coreProperties>
</file>