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E9710" w14:textId="77777777" w:rsidR="0077138E" w:rsidRDefault="0077138E" w:rsidP="001A4ECA">
      <w:pPr>
        <w:rPr>
          <w:rFonts w:cs="Arial"/>
          <w:b/>
          <w:color w:val="00396C"/>
          <w:sz w:val="80"/>
          <w:szCs w:val="80"/>
          <w:lang w:bidi="en-US"/>
        </w:rPr>
      </w:pPr>
      <w:bookmarkStart w:id="0" w:name="_GoBack"/>
      <w:bookmarkEnd w:id="0"/>
    </w:p>
    <w:p w14:paraId="4B0773DB" w14:textId="77A310A3" w:rsidR="000E6DD8" w:rsidRPr="003F20A3" w:rsidRDefault="007B43F9" w:rsidP="00822C30">
      <w:pPr>
        <w:pStyle w:val="Tarion-TitlePageHeading"/>
      </w:pPr>
      <w:r>
        <w:t>Builder Bulletin 50</w:t>
      </w:r>
    </w:p>
    <w:p w14:paraId="7FDE5B63" w14:textId="7F4306D5" w:rsidR="003F20A3" w:rsidRDefault="003F20A3" w:rsidP="000E6DD8">
      <w:pPr>
        <w:rPr>
          <w:rFonts w:cs="Arial"/>
          <w:color w:val="00396C"/>
          <w:sz w:val="40"/>
          <w:szCs w:val="40"/>
          <w:lang w:bidi="en-US"/>
        </w:rPr>
      </w:pPr>
    </w:p>
    <w:p w14:paraId="23DCF9E0" w14:textId="496A0A98" w:rsidR="003F20A3" w:rsidRDefault="009F24A4" w:rsidP="000E6DD8">
      <w:pPr>
        <w:rPr>
          <w:rFonts w:cs="Arial"/>
          <w:color w:val="00396C"/>
          <w:sz w:val="40"/>
          <w:szCs w:val="40"/>
          <w:lang w:bidi="en-US"/>
        </w:rPr>
      </w:pPr>
      <w:r>
        <w:rPr>
          <w:noProof/>
          <w:lang w:val="en-CA" w:eastAsia="en-CA"/>
        </w:rPr>
        <mc:AlternateContent>
          <mc:Choice Requires="wps">
            <w:drawing>
              <wp:anchor distT="0" distB="0" distL="114300" distR="114300" simplePos="0" relativeHeight="251663360" behindDoc="1" locked="0" layoutInCell="1" allowOverlap="1" wp14:anchorId="5920246F" wp14:editId="136685E9">
                <wp:simplePos x="0" y="0"/>
                <wp:positionH relativeFrom="margin">
                  <wp:posOffset>-10795</wp:posOffset>
                </wp:positionH>
                <wp:positionV relativeFrom="paragraph">
                  <wp:posOffset>19685</wp:posOffset>
                </wp:positionV>
                <wp:extent cx="6518910" cy="0"/>
                <wp:effectExtent l="0" t="25400" r="8890" b="25400"/>
                <wp:wrapNone/>
                <wp:docPr id="9" name="Straight Connector 9"/>
                <wp:cNvGraphicFramePr/>
                <a:graphic xmlns:a="http://schemas.openxmlformats.org/drawingml/2006/main">
                  <a:graphicData uri="http://schemas.microsoft.com/office/word/2010/wordprocessingShape">
                    <wps:wsp>
                      <wps:cNvCnPr/>
                      <wps:spPr>
                        <a:xfrm>
                          <a:off x="0" y="0"/>
                          <a:ext cx="6518910" cy="0"/>
                        </a:xfrm>
                        <a:prstGeom prst="line">
                          <a:avLst/>
                        </a:prstGeom>
                        <a:ln w="57150" cmpd="sng">
                          <a:solidFill>
                            <a:srgbClr val="FFB3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1AB5F6" id="Straight Connector 9"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5pt,1.55pt" to="5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" strokecolor="#ffb300" strokeweight="4.5pt">
                <w10:wrap anchorx="margin"/>
              </v:line>
            </w:pict>
          </mc:Fallback>
        </mc:AlternateContent>
      </w:r>
    </w:p>
    <w:p w14:paraId="54A15911" w14:textId="01EEFBAC" w:rsidR="00ED5909" w:rsidRPr="001A4ECA" w:rsidRDefault="007B43F9" w:rsidP="00822C30">
      <w:pPr>
        <w:pStyle w:val="Tarion-TitlePageSubheading"/>
      </w:pPr>
      <w:r>
        <w:t>The Repair Warranty and Repair Agreements</w:t>
      </w:r>
    </w:p>
    <w:p w14:paraId="76936F32" w14:textId="32E7D042" w:rsidR="00ED5909" w:rsidRDefault="00ED5909">
      <w:pPr>
        <w:rPr>
          <w:rFonts w:cs="Arial"/>
          <w:sz w:val="24"/>
          <w:szCs w:val="24"/>
        </w:rPr>
      </w:pPr>
      <w:r>
        <w:rPr>
          <w:rFonts w:cs="Arial"/>
          <w:sz w:val="24"/>
          <w:szCs w:val="24"/>
        </w:rPr>
        <w:br w:type="page"/>
      </w:r>
    </w:p>
    <w:p w14:paraId="1A88E3B8" w14:textId="60713320" w:rsidR="00574093" w:rsidRPr="00F15D68" w:rsidRDefault="007B43F9" w:rsidP="004A1BC6">
      <w:pPr>
        <w:pStyle w:val="Tarion-ReportHeading1"/>
      </w:pPr>
      <w:r>
        <w:lastRenderedPageBreak/>
        <w:t>What this bulletin is all about</w:t>
      </w:r>
    </w:p>
    <w:p w14:paraId="67B00CD3" w14:textId="77777777" w:rsidR="007B43F9" w:rsidRPr="00DB3EDD" w:rsidRDefault="007B43F9" w:rsidP="007B43F9">
      <w:pPr>
        <w:pStyle w:val="ListParagraph"/>
        <w:spacing w:after="0" w:line="240" w:lineRule="auto"/>
        <w:ind w:left="0"/>
        <w:contextualSpacing w:val="0"/>
        <w:jc w:val="both"/>
        <w:rPr>
          <w:rFonts w:ascii="Arial" w:hAnsi="Arial" w:cs="Arial"/>
          <w:sz w:val="20"/>
        </w:rPr>
      </w:pPr>
      <w:r>
        <w:rPr>
          <w:rFonts w:ascii="Arial" w:hAnsi="Arial" w:cs="Arial"/>
          <w:sz w:val="20"/>
        </w:rPr>
        <w:t xml:space="preserve">The regulations to the </w:t>
      </w:r>
      <w:r>
        <w:rPr>
          <w:rFonts w:ascii="Arial" w:hAnsi="Arial" w:cs="Arial"/>
          <w:i/>
          <w:sz w:val="20"/>
        </w:rPr>
        <w:t xml:space="preserve">Ontario New Home Warranties Plan Act </w:t>
      </w:r>
      <w:r>
        <w:rPr>
          <w:rFonts w:ascii="Arial" w:hAnsi="Arial" w:cs="Arial"/>
          <w:sz w:val="20"/>
        </w:rPr>
        <w:t>(the “Act”) have been amended by adding a repair warranty and rules regarding the use of repair agreements.</w:t>
      </w:r>
      <w:r>
        <w:rPr>
          <w:rStyle w:val="FootnoteReference"/>
          <w:rFonts w:ascii="Arial" w:hAnsi="Arial" w:cs="Arial"/>
          <w:sz w:val="20"/>
        </w:rPr>
        <w:footnoteReference w:id="1"/>
      </w:r>
    </w:p>
    <w:p w14:paraId="67E8F622" w14:textId="77777777" w:rsidR="007B43F9" w:rsidRDefault="007B43F9" w:rsidP="007B43F9">
      <w:pPr>
        <w:pStyle w:val="ListParagraph"/>
        <w:spacing w:after="0" w:line="240" w:lineRule="auto"/>
        <w:ind w:left="0"/>
        <w:contextualSpacing w:val="0"/>
        <w:jc w:val="both"/>
        <w:rPr>
          <w:rFonts w:ascii="Arial" w:hAnsi="Arial" w:cs="Arial"/>
          <w:sz w:val="20"/>
        </w:rPr>
      </w:pPr>
    </w:p>
    <w:p w14:paraId="6F375D60" w14:textId="239C9FE7" w:rsidR="007B43F9" w:rsidRDefault="007B43F9" w:rsidP="007B43F9">
      <w:pPr>
        <w:pStyle w:val="ListParagraph"/>
        <w:spacing w:after="0" w:line="240" w:lineRule="auto"/>
        <w:ind w:left="0"/>
        <w:jc w:val="both"/>
        <w:rPr>
          <w:rFonts w:ascii="Arial" w:hAnsi="Arial" w:cs="Arial"/>
          <w:sz w:val="20"/>
        </w:rPr>
      </w:pPr>
      <w:r w:rsidRPr="00C72146">
        <w:rPr>
          <w:rFonts w:ascii="Arial" w:hAnsi="Arial" w:cs="Arial"/>
          <w:sz w:val="20"/>
        </w:rPr>
        <w:t xml:space="preserve">This </w:t>
      </w:r>
      <w:r w:rsidR="00B91F96">
        <w:rPr>
          <w:rFonts w:ascii="Arial" w:hAnsi="Arial" w:cs="Arial"/>
          <w:sz w:val="20"/>
        </w:rPr>
        <w:t>b</w:t>
      </w:r>
      <w:r>
        <w:rPr>
          <w:rFonts w:ascii="Arial" w:hAnsi="Arial" w:cs="Arial"/>
          <w:sz w:val="20"/>
        </w:rPr>
        <w:t>ulletin</w:t>
      </w:r>
      <w:r w:rsidRPr="00C72146">
        <w:rPr>
          <w:rFonts w:ascii="Arial" w:hAnsi="Arial" w:cs="Arial"/>
          <w:sz w:val="20"/>
        </w:rPr>
        <w:t xml:space="preserve"> outlines the ru</w:t>
      </w:r>
      <w:r>
        <w:rPr>
          <w:rFonts w:ascii="Arial" w:hAnsi="Arial" w:cs="Arial"/>
          <w:sz w:val="20"/>
        </w:rPr>
        <w:t xml:space="preserve">les and guidelines that apply to </w:t>
      </w:r>
      <w:r w:rsidRPr="00354815">
        <w:rPr>
          <w:rFonts w:ascii="Arial" w:hAnsi="Arial" w:cs="Arial"/>
          <w:sz w:val="20"/>
        </w:rPr>
        <w:t>builders</w:t>
      </w:r>
      <w:r w:rsidRPr="00354815">
        <w:rPr>
          <w:rStyle w:val="FootnoteReference"/>
          <w:rFonts w:ascii="Arial" w:hAnsi="Arial" w:cs="Arial"/>
          <w:sz w:val="20"/>
        </w:rPr>
        <w:footnoteReference w:id="2"/>
      </w:r>
      <w:r>
        <w:rPr>
          <w:rFonts w:ascii="Arial" w:hAnsi="Arial" w:cs="Arial"/>
          <w:sz w:val="20"/>
        </w:rPr>
        <w:t xml:space="preserve"> and homeowners</w:t>
      </w:r>
      <w:r>
        <w:rPr>
          <w:rStyle w:val="FootnoteReference"/>
          <w:rFonts w:ascii="Arial" w:hAnsi="Arial" w:cs="Arial"/>
          <w:sz w:val="20"/>
        </w:rPr>
        <w:footnoteReference w:id="3"/>
      </w:r>
      <w:r>
        <w:rPr>
          <w:rFonts w:ascii="Arial" w:hAnsi="Arial" w:cs="Arial"/>
          <w:sz w:val="20"/>
        </w:rPr>
        <w:t xml:space="preserve"> regarding repair work (repair warranty) and agreements regarding repairs (repair agreements).  Information from this </w:t>
      </w:r>
      <w:r w:rsidR="00B91F96">
        <w:rPr>
          <w:rFonts w:ascii="Arial" w:hAnsi="Arial" w:cs="Arial"/>
          <w:sz w:val="20"/>
        </w:rPr>
        <w:t>b</w:t>
      </w:r>
      <w:r>
        <w:rPr>
          <w:rFonts w:ascii="Arial" w:hAnsi="Arial" w:cs="Arial"/>
          <w:sz w:val="20"/>
        </w:rPr>
        <w:t xml:space="preserve">ulletin can also be found in the </w:t>
      </w:r>
      <w:hyperlink r:id="rId8" w:history="1">
        <w:r w:rsidRPr="00C527F1">
          <w:rPr>
            <w:rStyle w:val="Hyperlink"/>
            <w:rFonts w:ascii="Arial" w:eastAsia="MS Mincho" w:hAnsi="Arial" w:cs="Arial"/>
            <w:color w:val="1F497D"/>
            <w:sz w:val="20"/>
          </w:rPr>
          <w:t>Homeowner Information Package</w:t>
        </w:r>
      </w:hyperlink>
      <w:r w:rsidRPr="00C527F1">
        <w:rPr>
          <w:rFonts w:ascii="Arial" w:hAnsi="Arial" w:cs="Arial"/>
          <w:sz w:val="20"/>
        </w:rPr>
        <w:t>.</w:t>
      </w:r>
    </w:p>
    <w:p w14:paraId="1ED60A8E" w14:textId="77777777" w:rsidR="007B43F9" w:rsidRDefault="007B43F9" w:rsidP="007B43F9">
      <w:pPr>
        <w:pStyle w:val="ListParagraph"/>
        <w:spacing w:after="0" w:line="240" w:lineRule="auto"/>
        <w:ind w:left="0"/>
        <w:jc w:val="both"/>
        <w:rPr>
          <w:rFonts w:ascii="Arial" w:hAnsi="Arial" w:cs="Arial"/>
          <w:sz w:val="20"/>
        </w:rPr>
      </w:pPr>
    </w:p>
    <w:p w14:paraId="2D8F3086" w14:textId="679FA784" w:rsidR="007B43F9" w:rsidRPr="007B43F9" w:rsidRDefault="007B43F9" w:rsidP="007B43F9">
      <w:pPr>
        <w:pStyle w:val="ListParagraph"/>
        <w:spacing w:after="0" w:line="240" w:lineRule="auto"/>
        <w:ind w:left="360" w:right="896"/>
        <w:contextualSpacing w:val="0"/>
        <w:jc w:val="both"/>
        <w:rPr>
          <w:rFonts w:ascii="Arial" w:hAnsi="Arial" w:cs="Arial"/>
          <w:b/>
          <w:sz w:val="20"/>
        </w:rPr>
      </w:pPr>
      <w:r w:rsidRPr="007B43F9">
        <w:rPr>
          <w:rFonts w:ascii="Arial" w:hAnsi="Arial" w:cs="Arial"/>
          <w:b/>
          <w:sz w:val="20"/>
        </w:rPr>
        <w:t>Builders are required to provide a one-year repair warranty on any remedial work they do in a home.  Tarion will backstop that warranty where the item is reported to Tarion on a statutory warranty form (30-Day, Year-End, Second-Year or Major Structural Defect Form) within the applicable timelines, and Tarion assesses the repair as warranted.</w:t>
      </w:r>
    </w:p>
    <w:p w14:paraId="36BB4D23" w14:textId="77777777" w:rsidR="007B43F9" w:rsidRPr="00F15D68" w:rsidRDefault="007B43F9" w:rsidP="007B43F9">
      <w:pPr>
        <w:pBdr>
          <w:bottom w:val="single" w:sz="12" w:space="1" w:color="auto"/>
        </w:pBdr>
        <w:rPr>
          <w:rFonts w:cs="Arial"/>
          <w:lang w:bidi="en-US"/>
        </w:rPr>
      </w:pPr>
    </w:p>
    <w:p w14:paraId="4A8B12FA" w14:textId="4F4F773A" w:rsidR="007B43F9" w:rsidRPr="00F15D68" w:rsidRDefault="007B43F9" w:rsidP="007B43F9">
      <w:pPr>
        <w:pStyle w:val="Tarion-ReportHeading1"/>
      </w:pPr>
      <w:r>
        <w:t>Repair Warranty</w:t>
      </w:r>
    </w:p>
    <w:p w14:paraId="5AFB620C" w14:textId="7F44691D" w:rsidR="007B43F9" w:rsidRPr="002F0CC7" w:rsidRDefault="007B43F9" w:rsidP="007B43F9">
      <w:pPr>
        <w:jc w:val="both"/>
        <w:rPr>
          <w:rFonts w:cs="Arial"/>
        </w:rPr>
      </w:pPr>
      <w:r w:rsidRPr="002F0CC7">
        <w:rPr>
          <w:rFonts w:cs="Arial"/>
        </w:rPr>
        <w:t xml:space="preserve">If a builder does repairs to an item properly submitted to Tarion on a </w:t>
      </w:r>
      <w:r>
        <w:rPr>
          <w:rFonts w:cs="Arial"/>
        </w:rPr>
        <w:t>statutory warranty form</w:t>
      </w:r>
      <w:r w:rsidRPr="002F0CC7">
        <w:rPr>
          <w:rFonts w:cs="Arial"/>
        </w:rPr>
        <w:t>, those repairs must be done in a workmanlike manner, free from defects in materials and in accordance with the Ontario Building Code.  This warranty applies where</w:t>
      </w:r>
      <w:r>
        <w:rPr>
          <w:rFonts w:cs="Arial"/>
        </w:rPr>
        <w:t>:</w:t>
      </w:r>
      <w:r w:rsidRPr="002F0CC7">
        <w:rPr>
          <w:rFonts w:cs="Arial"/>
        </w:rPr>
        <w:t xml:space="preserve"> (i) the builder has made a repair to an item properly submitted to Tarion on a </w:t>
      </w:r>
      <w:r>
        <w:rPr>
          <w:rFonts w:cs="Arial"/>
        </w:rPr>
        <w:t>statutory warranty form</w:t>
      </w:r>
      <w:r w:rsidRPr="002F0CC7">
        <w:rPr>
          <w:rFonts w:cs="Arial"/>
        </w:rPr>
        <w:t>, (ii) the homeowner feels that the repair has failed and (iii) the customer service standard (</w:t>
      </w:r>
      <w:r>
        <w:rPr>
          <w:rFonts w:cs="Arial"/>
        </w:rPr>
        <w:t>“</w:t>
      </w:r>
      <w:r w:rsidRPr="002F0CC7">
        <w:rPr>
          <w:rFonts w:cs="Arial"/>
        </w:rPr>
        <w:t>CSS</w:t>
      </w:r>
      <w:r>
        <w:rPr>
          <w:rFonts w:cs="Arial"/>
        </w:rPr>
        <w:t>”</w:t>
      </w:r>
      <w:r w:rsidRPr="002F0CC7">
        <w:rPr>
          <w:rFonts w:cs="Arial"/>
        </w:rPr>
        <w:t xml:space="preserve">) timelines set out in </w:t>
      </w:r>
      <w:hyperlink r:id="rId9" w:history="1">
        <w:r w:rsidRPr="0084767B">
          <w:rPr>
            <w:rStyle w:val="Hyperlink"/>
            <w:rFonts w:cs="Arial"/>
          </w:rPr>
          <w:t>Builder Bulletin 42 – Customer Service Standard</w:t>
        </w:r>
      </w:hyperlink>
      <w:r>
        <w:rPr>
          <w:rFonts w:cs="Arial"/>
        </w:rPr>
        <w:t xml:space="preserve"> </w:t>
      </w:r>
      <w:r w:rsidRPr="002F0CC7">
        <w:rPr>
          <w:rFonts w:cs="Arial"/>
        </w:rPr>
        <w:t xml:space="preserve">and </w:t>
      </w:r>
      <w:hyperlink r:id="rId10" w:history="1">
        <w:r w:rsidRPr="002F0CC7">
          <w:rPr>
            <w:rStyle w:val="Hyperlink"/>
            <w:rFonts w:cs="Arial"/>
          </w:rPr>
          <w:t>Builder Bulletin 49</w:t>
        </w:r>
      </w:hyperlink>
      <w:r>
        <w:rPr>
          <w:rStyle w:val="Hyperlink"/>
          <w:rFonts w:cs="Arial"/>
        </w:rPr>
        <w:t xml:space="preserve"> – Claims Process, </w:t>
      </w:r>
      <w:hyperlink r:id="rId11" w:history="1">
        <w:r w:rsidRPr="0084767B">
          <w:rPr>
            <w:rStyle w:val="Hyperlink"/>
            <w:rFonts w:cs="Arial"/>
          </w:rPr>
          <w:t>Condominium Common Elements</w:t>
        </w:r>
      </w:hyperlink>
      <w:r w:rsidRPr="002F0CC7">
        <w:rPr>
          <w:rFonts w:cs="Arial"/>
        </w:rPr>
        <w:t xml:space="preserve"> with respect to the </w:t>
      </w:r>
      <w:r>
        <w:rPr>
          <w:rFonts w:cs="Arial"/>
        </w:rPr>
        <w:t>statutory warranty form</w:t>
      </w:r>
      <w:r w:rsidRPr="002F0CC7">
        <w:rPr>
          <w:rFonts w:cs="Arial"/>
        </w:rPr>
        <w:t xml:space="preserve"> </w:t>
      </w:r>
      <w:r>
        <w:rPr>
          <w:rFonts w:cs="Arial"/>
        </w:rPr>
        <w:t>list</w:t>
      </w:r>
      <w:r w:rsidRPr="002F0CC7">
        <w:rPr>
          <w:rFonts w:cs="Arial"/>
        </w:rPr>
        <w:t xml:space="preserve">ing the item have elapsed.  </w:t>
      </w:r>
    </w:p>
    <w:p w14:paraId="78ED4597" w14:textId="77777777" w:rsidR="007B43F9" w:rsidRDefault="007B43F9">
      <w:pPr>
        <w:rPr>
          <w:rFonts w:cs="Arial"/>
          <w:lang w:bidi="en-US"/>
        </w:rPr>
      </w:pPr>
    </w:p>
    <w:p w14:paraId="595C6431" w14:textId="77777777" w:rsidR="007B43F9" w:rsidRDefault="007B43F9" w:rsidP="007B43F9">
      <w:pPr>
        <w:pStyle w:val="ListParagraph"/>
        <w:spacing w:after="0" w:line="240" w:lineRule="auto"/>
        <w:ind w:left="360" w:right="896"/>
        <w:contextualSpacing w:val="0"/>
        <w:jc w:val="both"/>
        <w:rPr>
          <w:rFonts w:ascii="Arial" w:hAnsi="Arial" w:cs="Arial"/>
          <w:sz w:val="20"/>
        </w:rPr>
      </w:pPr>
      <w:r w:rsidRPr="007B43F9">
        <w:rPr>
          <w:rFonts w:ascii="Arial" w:hAnsi="Arial" w:cs="Arial"/>
          <w:b/>
          <w:sz w:val="20"/>
        </w:rPr>
        <w:t>This repair warranty is effective from the date the repair is completed for a period of one year or the remaining length of the underlying warranty applicable to the item, whichever period is longer.</w:t>
      </w:r>
      <w:r w:rsidRPr="002F0CC7">
        <w:rPr>
          <w:rFonts w:ascii="Arial" w:hAnsi="Arial" w:cs="Arial"/>
          <w:sz w:val="20"/>
        </w:rPr>
        <w:t xml:space="preserve">  </w:t>
      </w:r>
    </w:p>
    <w:p w14:paraId="0B4D7548" w14:textId="77777777" w:rsidR="007B43F9" w:rsidRDefault="007B43F9">
      <w:pPr>
        <w:rPr>
          <w:rFonts w:cs="Arial"/>
          <w:lang w:bidi="en-US"/>
        </w:rPr>
      </w:pPr>
    </w:p>
    <w:p w14:paraId="60BDC713" w14:textId="77777777" w:rsidR="00492CF8" w:rsidRPr="00F15D68" w:rsidRDefault="00492CF8" w:rsidP="00492CF8">
      <w:pPr>
        <w:pBdr>
          <w:bottom w:val="single" w:sz="12" w:space="1" w:color="auto"/>
        </w:pBdr>
        <w:rPr>
          <w:rFonts w:cs="Arial"/>
          <w:lang w:bidi="en-US"/>
        </w:rPr>
      </w:pPr>
    </w:p>
    <w:p w14:paraId="6B8B114C" w14:textId="6916AFC8" w:rsidR="00492CF8" w:rsidRPr="00F15D68" w:rsidRDefault="00492CF8" w:rsidP="00492CF8">
      <w:pPr>
        <w:pStyle w:val="Tarion-ReportHeading1"/>
      </w:pPr>
      <w:r>
        <w:t>Repair Warranty Claim</w:t>
      </w:r>
      <w:r w:rsidR="0044648C">
        <w:t>s</w:t>
      </w:r>
      <w:r>
        <w:t xml:space="preserve"> Process</w:t>
      </w:r>
    </w:p>
    <w:p w14:paraId="34EA2A8F" w14:textId="2662814C" w:rsidR="005513E1" w:rsidRPr="00E358A1" w:rsidRDefault="005513E1" w:rsidP="00E358A1">
      <w:pPr>
        <w:jc w:val="both"/>
        <w:rPr>
          <w:rFonts w:cs="Arial"/>
          <w:b/>
          <w:color w:val="6787B7"/>
          <w:sz w:val="24"/>
          <w:szCs w:val="24"/>
          <w:lang w:bidi="en-US"/>
        </w:rPr>
      </w:pPr>
      <w:r w:rsidRPr="00E358A1">
        <w:rPr>
          <w:rFonts w:cs="Arial"/>
          <w:b/>
          <w:color w:val="6787B7"/>
          <w:sz w:val="24"/>
          <w:szCs w:val="24"/>
          <w:lang w:bidi="en-US"/>
        </w:rPr>
        <w:t>When to Use the Repair Warranty Claim</w:t>
      </w:r>
      <w:r w:rsidR="0044648C">
        <w:rPr>
          <w:rFonts w:cs="Arial"/>
          <w:b/>
          <w:color w:val="6787B7"/>
          <w:sz w:val="24"/>
          <w:szCs w:val="24"/>
          <w:lang w:bidi="en-US"/>
        </w:rPr>
        <w:t>s</w:t>
      </w:r>
      <w:r w:rsidRPr="00E358A1">
        <w:rPr>
          <w:rFonts w:cs="Arial"/>
          <w:b/>
          <w:color w:val="6787B7"/>
          <w:sz w:val="24"/>
          <w:szCs w:val="24"/>
          <w:lang w:bidi="en-US"/>
        </w:rPr>
        <w:t xml:space="preserve"> Process</w:t>
      </w:r>
    </w:p>
    <w:p w14:paraId="3935D493" w14:textId="77777777" w:rsidR="00E358A1" w:rsidRDefault="00E358A1" w:rsidP="00054F74">
      <w:pPr>
        <w:jc w:val="both"/>
        <w:rPr>
          <w:rFonts w:cs="Arial"/>
        </w:rPr>
      </w:pPr>
    </w:p>
    <w:p w14:paraId="4BF0F958" w14:textId="2C06FAD5" w:rsidR="00054F74" w:rsidRDefault="00054F74" w:rsidP="00054F74">
      <w:pPr>
        <w:jc w:val="both"/>
        <w:rPr>
          <w:rFonts w:cs="Arial"/>
        </w:rPr>
      </w:pPr>
      <w:r>
        <w:rPr>
          <w:rFonts w:cs="Arial"/>
        </w:rPr>
        <w:t>A homeowner can initiate the repair warranty claim</w:t>
      </w:r>
      <w:r w:rsidR="0044648C">
        <w:rPr>
          <w:rFonts w:cs="Arial"/>
        </w:rPr>
        <w:t>s</w:t>
      </w:r>
      <w:r>
        <w:rPr>
          <w:rFonts w:cs="Arial"/>
        </w:rPr>
        <w:t xml:space="preserve"> process if they feel a builder repair has failed on an item and the request for conciliation timeframe on the original statutory warranty form listing the item has elapsed.</w:t>
      </w:r>
    </w:p>
    <w:p w14:paraId="769A72D1" w14:textId="77777777" w:rsidR="00054F74" w:rsidRDefault="00054F74" w:rsidP="00054F74">
      <w:pPr>
        <w:jc w:val="both"/>
        <w:rPr>
          <w:rFonts w:cs="Arial"/>
        </w:rPr>
      </w:pPr>
    </w:p>
    <w:p w14:paraId="1E33B191" w14:textId="77777777" w:rsidR="00054F74" w:rsidRDefault="00054F74" w:rsidP="00054F74">
      <w:pPr>
        <w:jc w:val="both"/>
        <w:rPr>
          <w:rFonts w:cs="Arial"/>
        </w:rPr>
      </w:pPr>
      <w:r>
        <w:rPr>
          <w:rFonts w:cs="Arial"/>
        </w:rPr>
        <w:lastRenderedPageBreak/>
        <w:t xml:space="preserve">If the request for conciliation timeframe on the statutory warranty form has not elapsed, the homeowner should </w:t>
      </w:r>
      <w:r w:rsidRPr="00923BA8">
        <w:rPr>
          <w:rFonts w:cs="Arial"/>
        </w:rPr>
        <w:t>notify their builder of the failed repair and, if necessary,</w:t>
      </w:r>
      <w:r>
        <w:rPr>
          <w:rFonts w:cs="Arial"/>
        </w:rPr>
        <w:t xml:space="preserve"> request conciliation under the regular CSS process to have the repair assessed by Tarion.</w:t>
      </w:r>
    </w:p>
    <w:p w14:paraId="2C5FDA99" w14:textId="550BAB51" w:rsidR="00915282" w:rsidRDefault="00915282">
      <w:pPr>
        <w:rPr>
          <w:rFonts w:cs="Arial"/>
          <w:lang w:bidi="en-US"/>
        </w:rPr>
      </w:pPr>
    </w:p>
    <w:p w14:paraId="7254AB80" w14:textId="22D17607" w:rsidR="004117A5" w:rsidRPr="00E358A1" w:rsidRDefault="004117A5" w:rsidP="00E358A1">
      <w:pPr>
        <w:jc w:val="both"/>
        <w:rPr>
          <w:rFonts w:cs="Arial"/>
          <w:b/>
          <w:color w:val="6787B7"/>
          <w:sz w:val="24"/>
          <w:szCs w:val="24"/>
          <w:lang w:bidi="en-US"/>
        </w:rPr>
      </w:pPr>
      <w:r w:rsidRPr="00E358A1">
        <w:rPr>
          <w:rFonts w:cs="Arial"/>
          <w:b/>
          <w:color w:val="6787B7"/>
          <w:sz w:val="24"/>
          <w:szCs w:val="24"/>
          <w:lang w:bidi="en-US"/>
        </w:rPr>
        <w:t>How to Start the Repair Warranty Claim</w:t>
      </w:r>
      <w:r w:rsidR="0044648C">
        <w:rPr>
          <w:rFonts w:cs="Arial"/>
          <w:b/>
          <w:color w:val="6787B7"/>
          <w:sz w:val="24"/>
          <w:szCs w:val="24"/>
          <w:lang w:bidi="en-US"/>
        </w:rPr>
        <w:t>s</w:t>
      </w:r>
      <w:r w:rsidRPr="00E358A1">
        <w:rPr>
          <w:rFonts w:cs="Arial"/>
          <w:b/>
          <w:color w:val="6787B7"/>
          <w:sz w:val="24"/>
          <w:szCs w:val="24"/>
          <w:lang w:bidi="en-US"/>
        </w:rPr>
        <w:t xml:space="preserve"> Process</w:t>
      </w:r>
    </w:p>
    <w:p w14:paraId="35443713" w14:textId="77777777" w:rsidR="004117A5" w:rsidRPr="004117A5" w:rsidRDefault="004117A5" w:rsidP="004117A5">
      <w:pPr>
        <w:rPr>
          <w:rFonts w:cs="Arial"/>
          <w:lang w:bidi="en-US"/>
        </w:rPr>
      </w:pPr>
    </w:p>
    <w:p w14:paraId="3BB8246F" w14:textId="7FF76246" w:rsidR="004117A5" w:rsidRDefault="004117A5" w:rsidP="004117A5">
      <w:pPr>
        <w:rPr>
          <w:rFonts w:cs="Arial"/>
          <w:lang w:bidi="en-US"/>
        </w:rPr>
      </w:pPr>
      <w:r w:rsidRPr="004117A5">
        <w:rPr>
          <w:rFonts w:cs="Arial"/>
          <w:lang w:bidi="en-US"/>
        </w:rPr>
        <w:t>If a repair fails, homeowners are encouraged to notify their builder right away, work with the builder directly to resolve the issue, and start the repair warranty claim</w:t>
      </w:r>
      <w:r w:rsidR="0044648C">
        <w:rPr>
          <w:rFonts w:cs="Arial"/>
          <w:lang w:bidi="en-US"/>
        </w:rPr>
        <w:t>s</w:t>
      </w:r>
      <w:r w:rsidRPr="004117A5">
        <w:rPr>
          <w:rFonts w:cs="Arial"/>
          <w:lang w:bidi="en-US"/>
        </w:rPr>
        <w:t xml:space="preserve"> process through Tarion, if necessary.  To start the repair warranty claim</w:t>
      </w:r>
      <w:r w:rsidR="0044648C">
        <w:rPr>
          <w:rFonts w:cs="Arial"/>
          <w:lang w:bidi="en-US"/>
        </w:rPr>
        <w:t>s</w:t>
      </w:r>
      <w:r w:rsidRPr="004117A5">
        <w:rPr>
          <w:rFonts w:cs="Arial"/>
          <w:lang w:bidi="en-US"/>
        </w:rPr>
        <w:t xml:space="preserve"> process, the homeowner must submit a Repair Warranty Form to Tarion and their builder.  The homeowner must list on this form the item(s) they feel has not been properly repaired, cross-referenced to the statutory warranty form where the item(s) was originally reported to Tarion.  This form must be submitted to Tarion within one year from the date the repair on the item(s) was completed or the remaining length of the underlying warranty applicable to the item(s), whichever period is longer.      </w:t>
      </w:r>
    </w:p>
    <w:p w14:paraId="7900DE23" w14:textId="77777777" w:rsidR="004117A5" w:rsidRDefault="004117A5" w:rsidP="004117A5">
      <w:pPr>
        <w:rPr>
          <w:rFonts w:cs="Arial"/>
          <w:lang w:bidi="en-US"/>
        </w:rPr>
      </w:pPr>
    </w:p>
    <w:p w14:paraId="6C682AD3" w14:textId="77777777" w:rsidR="004117A5" w:rsidRPr="00D050CE" w:rsidRDefault="004117A5" w:rsidP="001B4E42">
      <w:pPr>
        <w:pStyle w:val="ListParagraph"/>
        <w:spacing w:after="0" w:line="240" w:lineRule="auto"/>
        <w:ind w:left="360" w:right="896"/>
        <w:contextualSpacing w:val="0"/>
        <w:jc w:val="both"/>
        <w:rPr>
          <w:rFonts w:ascii="Arial" w:hAnsi="Arial" w:cs="Arial"/>
          <w:sz w:val="20"/>
        </w:rPr>
      </w:pPr>
      <w:r w:rsidRPr="001B4E42">
        <w:rPr>
          <w:rFonts w:ascii="Arial" w:hAnsi="Arial" w:cs="Arial"/>
          <w:b/>
          <w:sz w:val="20"/>
        </w:rPr>
        <w:t>On the Repair Warranty Form, the homeowner must list the item(s) they feel have not been properly repaired, cross-referenced to the statutory warranty form where the item was originally reported to Tarion.</w:t>
      </w:r>
    </w:p>
    <w:p w14:paraId="3156DCFA" w14:textId="77777777" w:rsidR="004117A5" w:rsidRDefault="004117A5" w:rsidP="004117A5">
      <w:pPr>
        <w:rPr>
          <w:rFonts w:cs="Arial"/>
          <w:lang w:bidi="en-US"/>
        </w:rPr>
      </w:pPr>
    </w:p>
    <w:p w14:paraId="3800E88E" w14:textId="77777777" w:rsidR="00E358A1" w:rsidRPr="00E358A1" w:rsidRDefault="00E358A1" w:rsidP="00E358A1">
      <w:pPr>
        <w:jc w:val="both"/>
        <w:rPr>
          <w:rFonts w:cs="Arial"/>
          <w:b/>
          <w:color w:val="6787B7"/>
          <w:sz w:val="24"/>
          <w:szCs w:val="24"/>
          <w:lang w:bidi="en-US"/>
        </w:rPr>
      </w:pPr>
      <w:r w:rsidRPr="00E358A1">
        <w:rPr>
          <w:rFonts w:cs="Arial"/>
          <w:b/>
          <w:color w:val="6787B7"/>
          <w:sz w:val="24"/>
          <w:szCs w:val="24"/>
          <w:lang w:bidi="en-US"/>
        </w:rPr>
        <w:t xml:space="preserve">Builder Repair Period </w:t>
      </w:r>
    </w:p>
    <w:p w14:paraId="15E64ED4" w14:textId="77777777" w:rsidR="00E358A1" w:rsidRDefault="00E358A1" w:rsidP="00E358A1">
      <w:pPr>
        <w:jc w:val="both"/>
        <w:rPr>
          <w:rFonts w:cs="Arial"/>
        </w:rPr>
      </w:pPr>
    </w:p>
    <w:p w14:paraId="3F6ADA2E" w14:textId="6499D138" w:rsidR="00E358A1" w:rsidRDefault="00E358A1" w:rsidP="00E358A1">
      <w:pPr>
        <w:jc w:val="both"/>
      </w:pPr>
      <w:r w:rsidRPr="00923BA8">
        <w:rPr>
          <w:rFonts w:cs="Arial"/>
        </w:rPr>
        <w:t xml:space="preserve">Once the </w:t>
      </w:r>
      <w:r>
        <w:rPr>
          <w:rFonts w:cs="Arial"/>
        </w:rPr>
        <w:t>Repair Warranty Form</w:t>
      </w:r>
      <w:r w:rsidRPr="00923BA8">
        <w:rPr>
          <w:rFonts w:cs="Arial"/>
        </w:rPr>
        <w:t xml:space="preserve"> is submitted, the builder will be given a repair period to </w:t>
      </w:r>
      <w:r>
        <w:rPr>
          <w:rFonts w:cs="Arial"/>
        </w:rPr>
        <w:t>do</w:t>
      </w:r>
      <w:r w:rsidRPr="00923BA8">
        <w:rPr>
          <w:rFonts w:cs="Arial"/>
        </w:rPr>
        <w:t xml:space="preserve"> further repairs or otherwise resolve any items covered by the </w:t>
      </w:r>
      <w:r>
        <w:rPr>
          <w:rFonts w:cs="Arial"/>
        </w:rPr>
        <w:t xml:space="preserve">statutory </w:t>
      </w:r>
      <w:r w:rsidRPr="00923BA8">
        <w:rPr>
          <w:rFonts w:cs="Arial"/>
        </w:rPr>
        <w:t xml:space="preserve">warranties.  For freehold homes and condo units, the repair period will be 30 days.  For common elements, the repair period will be 90 days.  The homeowner must provide reasonable access to the builder during this timeframe as described in </w:t>
      </w:r>
      <w:hyperlink r:id="rId12" w:history="1">
        <w:r w:rsidRPr="002F0CC7">
          <w:rPr>
            <w:rStyle w:val="Hyperlink"/>
            <w:rFonts w:cs="Arial"/>
          </w:rPr>
          <w:t>Builder Bulletin 42</w:t>
        </w:r>
      </w:hyperlink>
      <w:r>
        <w:rPr>
          <w:rStyle w:val="Hyperlink"/>
          <w:rFonts w:cs="Arial"/>
        </w:rPr>
        <w:t xml:space="preserve"> – Customer Service Standard</w:t>
      </w:r>
      <w:r>
        <w:rPr>
          <w:rFonts w:cs="Arial"/>
        </w:rPr>
        <w:t xml:space="preserve"> </w:t>
      </w:r>
      <w:r w:rsidRPr="002F0CC7">
        <w:rPr>
          <w:rFonts w:cs="Arial"/>
        </w:rPr>
        <w:t xml:space="preserve">and </w:t>
      </w:r>
      <w:hyperlink r:id="rId13" w:history="1">
        <w:r w:rsidRPr="0084767B">
          <w:rPr>
            <w:rStyle w:val="Hyperlink"/>
            <w:rFonts w:cs="Arial"/>
          </w:rPr>
          <w:t>Builder Bulletin 49 – Claims Process, Condominium Common Elements</w:t>
        </w:r>
      </w:hyperlink>
      <w:r>
        <w:rPr>
          <w:rStyle w:val="Hyperlink"/>
          <w:rFonts w:cs="Arial"/>
        </w:rPr>
        <w:t>.</w:t>
      </w:r>
      <w:r>
        <w:t xml:space="preserve">  </w:t>
      </w:r>
    </w:p>
    <w:p w14:paraId="0140F546" w14:textId="77777777" w:rsidR="00E358A1" w:rsidRPr="00923BA8" w:rsidRDefault="00E358A1" w:rsidP="00E358A1">
      <w:pPr>
        <w:jc w:val="both"/>
        <w:rPr>
          <w:rFonts w:cs="Arial"/>
        </w:rPr>
      </w:pPr>
    </w:p>
    <w:p w14:paraId="340E3ABF" w14:textId="77777777" w:rsidR="00E358A1" w:rsidRPr="00923BA8" w:rsidRDefault="00E358A1" w:rsidP="00E358A1">
      <w:pPr>
        <w:jc w:val="both"/>
        <w:rPr>
          <w:rFonts w:cs="Arial"/>
        </w:rPr>
      </w:pPr>
      <w:r w:rsidRPr="00923BA8">
        <w:rPr>
          <w:rFonts w:cs="Arial"/>
        </w:rPr>
        <w:t>If the builder requires additional time beyond the applicable 30-day/90-day repair period</w:t>
      </w:r>
      <w:r>
        <w:rPr>
          <w:rFonts w:cs="Arial"/>
        </w:rPr>
        <w:t xml:space="preserve"> (e.g., for seasonal or complex repairs)</w:t>
      </w:r>
      <w:r w:rsidRPr="00923BA8">
        <w:rPr>
          <w:rFonts w:cs="Arial"/>
        </w:rPr>
        <w:t>, the builder must notify Tarion as soon as possible within the repair period to request an extension.</w:t>
      </w:r>
      <w:r w:rsidRPr="00923BA8">
        <w:rPr>
          <w:rStyle w:val="FootnoteReference"/>
          <w:rFonts w:cs="Arial"/>
        </w:rPr>
        <w:footnoteReference w:id="4"/>
      </w:r>
      <w:r w:rsidRPr="00923BA8">
        <w:rPr>
          <w:rFonts w:cs="Arial"/>
        </w:rPr>
        <w:t xml:space="preserve">  Tarion will, in its sole discretion, determine whether or not to grant the request and will notify the builder and homeowner of its decision.  </w:t>
      </w:r>
    </w:p>
    <w:p w14:paraId="20F093B2" w14:textId="77777777" w:rsidR="00E358A1" w:rsidRPr="00923BA8" w:rsidRDefault="00E358A1" w:rsidP="00E358A1">
      <w:pPr>
        <w:jc w:val="both"/>
        <w:rPr>
          <w:rFonts w:cs="Arial"/>
        </w:rPr>
      </w:pPr>
    </w:p>
    <w:p w14:paraId="485EDEA1" w14:textId="77777777" w:rsidR="00E358A1" w:rsidRDefault="00E358A1" w:rsidP="00E358A1">
      <w:pPr>
        <w:jc w:val="both"/>
        <w:rPr>
          <w:rFonts w:cs="Arial"/>
        </w:rPr>
      </w:pPr>
      <w:r w:rsidRPr="00923BA8">
        <w:rPr>
          <w:rFonts w:cs="Arial"/>
        </w:rPr>
        <w:t xml:space="preserve">There may also be circumstances in which Tarion will </w:t>
      </w:r>
      <w:r>
        <w:rPr>
          <w:rFonts w:cs="Arial"/>
        </w:rPr>
        <w:t>shorten</w:t>
      </w:r>
      <w:r w:rsidRPr="00923BA8">
        <w:rPr>
          <w:rFonts w:cs="Arial"/>
        </w:rPr>
        <w:t xml:space="preserve"> the repair period </w:t>
      </w:r>
      <w:r>
        <w:rPr>
          <w:rFonts w:cs="Arial"/>
        </w:rPr>
        <w:t>(</w:t>
      </w:r>
      <w:r w:rsidRPr="00923BA8">
        <w:rPr>
          <w:rFonts w:cs="Arial"/>
        </w:rPr>
        <w:t>e.g., health/safety issues</w:t>
      </w:r>
      <w:r>
        <w:rPr>
          <w:rFonts w:cs="Arial"/>
        </w:rPr>
        <w:t>)</w:t>
      </w:r>
      <w:r w:rsidRPr="00923BA8">
        <w:rPr>
          <w:rFonts w:cs="Arial"/>
        </w:rPr>
        <w:t>.  Tarion will advise the builder and homeowner of the shortened timelines in such circumstances.</w:t>
      </w:r>
    </w:p>
    <w:p w14:paraId="7A8FA934" w14:textId="77777777" w:rsidR="00E358A1" w:rsidRDefault="00E358A1" w:rsidP="00E358A1">
      <w:pPr>
        <w:jc w:val="both"/>
        <w:rPr>
          <w:rFonts w:cs="Arial"/>
          <w:b/>
        </w:rPr>
      </w:pPr>
    </w:p>
    <w:p w14:paraId="745B28D2" w14:textId="77777777" w:rsidR="00E358A1" w:rsidRPr="00E358A1" w:rsidRDefault="00E358A1" w:rsidP="00E358A1">
      <w:pPr>
        <w:jc w:val="both"/>
        <w:rPr>
          <w:rFonts w:cs="Arial"/>
          <w:b/>
          <w:color w:val="6787B7"/>
          <w:sz w:val="24"/>
          <w:szCs w:val="24"/>
          <w:lang w:bidi="en-US"/>
        </w:rPr>
      </w:pPr>
      <w:r w:rsidRPr="00E358A1">
        <w:rPr>
          <w:rFonts w:cs="Arial"/>
          <w:b/>
          <w:color w:val="6787B7"/>
          <w:sz w:val="24"/>
          <w:szCs w:val="24"/>
          <w:lang w:bidi="en-US"/>
        </w:rPr>
        <w:t>Repair Conciliation</w:t>
      </w:r>
    </w:p>
    <w:p w14:paraId="683A0715" w14:textId="77777777" w:rsidR="00E358A1" w:rsidRDefault="00E358A1" w:rsidP="00E358A1">
      <w:pPr>
        <w:jc w:val="both"/>
        <w:rPr>
          <w:rFonts w:cs="Arial"/>
        </w:rPr>
      </w:pPr>
    </w:p>
    <w:p w14:paraId="7E6325D1" w14:textId="77777777" w:rsidR="00E358A1" w:rsidRPr="003E1EC5" w:rsidRDefault="00E358A1" w:rsidP="00E358A1">
      <w:pPr>
        <w:jc w:val="both"/>
        <w:rPr>
          <w:rFonts w:cs="Arial"/>
        </w:rPr>
      </w:pPr>
      <w:r w:rsidRPr="003E1EC5">
        <w:rPr>
          <w:rFonts w:cs="Arial"/>
        </w:rPr>
        <w:t xml:space="preserve">If the builder does not repair or resolve all of the warranted items listed on the </w:t>
      </w:r>
      <w:r>
        <w:rPr>
          <w:rFonts w:cs="Arial"/>
        </w:rPr>
        <w:t>Repair Warranty Form</w:t>
      </w:r>
      <w:r w:rsidRPr="003E1EC5">
        <w:rPr>
          <w:rFonts w:cs="Arial"/>
        </w:rPr>
        <w:t xml:space="preserve"> during the repair period, the homeowner may request a conciliation by contacting Tarion</w:t>
      </w:r>
      <w:r>
        <w:rPr>
          <w:rFonts w:cs="Arial"/>
        </w:rPr>
        <w:t xml:space="preserve">.  </w:t>
      </w:r>
      <w:r w:rsidRPr="00923BA8">
        <w:rPr>
          <w:rFonts w:cs="Arial"/>
        </w:rPr>
        <w:t xml:space="preserve">For freehold homes and condominium units, the homeowner </w:t>
      </w:r>
      <w:r>
        <w:rPr>
          <w:rFonts w:cs="Arial"/>
        </w:rPr>
        <w:t>must</w:t>
      </w:r>
      <w:r w:rsidRPr="00923BA8">
        <w:rPr>
          <w:rFonts w:cs="Arial"/>
        </w:rPr>
        <w:t xml:space="preserve"> contact Tarion at any time within the 30 days following the 30-day repair period.  For common elements, the homeowner </w:t>
      </w:r>
      <w:r>
        <w:rPr>
          <w:rFonts w:cs="Arial"/>
        </w:rPr>
        <w:t>must</w:t>
      </w:r>
      <w:r w:rsidRPr="00923BA8">
        <w:rPr>
          <w:rFonts w:cs="Arial"/>
        </w:rPr>
        <w:t xml:space="preserve"> contact Tarion at any time within the 60 days following the</w:t>
      </w:r>
      <w:r>
        <w:rPr>
          <w:rFonts w:cs="Arial"/>
        </w:rPr>
        <w:t xml:space="preserve"> </w:t>
      </w:r>
      <w:r w:rsidRPr="00923BA8">
        <w:rPr>
          <w:rFonts w:cs="Arial"/>
        </w:rPr>
        <w:t>90-day repair period.</w:t>
      </w:r>
      <w:r>
        <w:rPr>
          <w:rFonts w:cs="Arial"/>
        </w:rPr>
        <w:t xml:space="preserve">  Tarion encourages homeowners and builders to continue to work together to resolve warranted items during this time period.</w:t>
      </w:r>
    </w:p>
    <w:p w14:paraId="3CAEAE99" w14:textId="77777777" w:rsidR="00E358A1" w:rsidRDefault="00E358A1" w:rsidP="00E358A1">
      <w:pPr>
        <w:jc w:val="both"/>
        <w:rPr>
          <w:rFonts w:cs="Arial"/>
        </w:rPr>
      </w:pPr>
    </w:p>
    <w:p w14:paraId="146CFE2C" w14:textId="77777777" w:rsidR="00E358A1" w:rsidRPr="003E1EC5" w:rsidRDefault="00E358A1" w:rsidP="00E358A1">
      <w:pPr>
        <w:jc w:val="both"/>
        <w:rPr>
          <w:rFonts w:cs="Arial"/>
        </w:rPr>
      </w:pPr>
      <w:r w:rsidRPr="003E1EC5">
        <w:rPr>
          <w:rFonts w:cs="Arial"/>
        </w:rPr>
        <w:t xml:space="preserve">When the homeowner requests conciliation, Tarion will schedule a conciliation inspection appointment with the homeowner </w:t>
      </w:r>
      <w:r w:rsidRPr="0084767B">
        <w:rPr>
          <w:rFonts w:cs="Arial"/>
        </w:rPr>
        <w:t>and invite the</w:t>
      </w:r>
      <w:r w:rsidRPr="003E1EC5">
        <w:rPr>
          <w:rFonts w:cs="Arial"/>
        </w:rPr>
        <w:t xml:space="preserve"> builder.</w:t>
      </w:r>
      <w:r>
        <w:rPr>
          <w:rFonts w:cs="Arial"/>
        </w:rPr>
        <w:t xml:space="preserve">  Tarion will conduct the repair conciliation inspection, following its usual conciliation </w:t>
      </w:r>
      <w:r>
        <w:rPr>
          <w:rFonts w:cs="Arial"/>
        </w:rPr>
        <w:lastRenderedPageBreak/>
        <w:t>process, and issue a Warranty Assessment Report to the homeowner and builder within the 30-day period that begins on the 30</w:t>
      </w:r>
      <w:r w:rsidRPr="000D1ED4">
        <w:rPr>
          <w:rFonts w:cs="Arial"/>
          <w:vertAlign w:val="superscript"/>
        </w:rPr>
        <w:t>th</w:t>
      </w:r>
      <w:r>
        <w:rPr>
          <w:rFonts w:cs="Arial"/>
        </w:rPr>
        <w:t xml:space="preserve"> day after the request for conciliation was made.  The</w:t>
      </w:r>
      <w:r w:rsidRPr="003E1EC5">
        <w:rPr>
          <w:rFonts w:cs="Arial"/>
        </w:rPr>
        <w:t xml:space="preserve"> Warranty Assessment Report </w:t>
      </w:r>
      <w:r>
        <w:rPr>
          <w:rFonts w:cs="Arial"/>
        </w:rPr>
        <w:t xml:space="preserve">will contain Tarion’s assessment of whether any item(s) on the Repair Warranty Form </w:t>
      </w:r>
      <w:r w:rsidRPr="003E1EC5">
        <w:rPr>
          <w:rFonts w:cs="Arial"/>
        </w:rPr>
        <w:t>is warranted or not.  If the homeowner cancels the conciliation, the item(s) will be deemed to be resolved/withdrawn.</w:t>
      </w:r>
    </w:p>
    <w:p w14:paraId="345FA89D" w14:textId="77777777" w:rsidR="00E358A1" w:rsidRDefault="00E358A1" w:rsidP="00E358A1">
      <w:pPr>
        <w:jc w:val="both"/>
        <w:rPr>
          <w:rFonts w:cs="Arial"/>
        </w:rPr>
      </w:pPr>
    </w:p>
    <w:p w14:paraId="54D46594" w14:textId="77777777" w:rsidR="00E358A1" w:rsidRPr="003E1EC5" w:rsidRDefault="00E358A1" w:rsidP="00E358A1">
      <w:pPr>
        <w:jc w:val="both"/>
        <w:rPr>
          <w:rFonts w:cs="Arial"/>
        </w:rPr>
      </w:pPr>
      <w:r w:rsidRPr="003E1EC5">
        <w:rPr>
          <w:rFonts w:cs="Arial"/>
        </w:rPr>
        <w:t xml:space="preserve">The homeowner will pay the prescribed conciliation </w:t>
      </w:r>
      <w:r>
        <w:rPr>
          <w:rFonts w:cs="Arial"/>
        </w:rPr>
        <w:t>deposit</w:t>
      </w:r>
      <w:r w:rsidRPr="003E1EC5">
        <w:rPr>
          <w:rFonts w:cs="Arial"/>
        </w:rPr>
        <w:t xml:space="preserve"> when requesting the conciliation and, if </w:t>
      </w:r>
      <w:r>
        <w:rPr>
          <w:rFonts w:cs="Arial"/>
        </w:rPr>
        <w:t xml:space="preserve">any of the </w:t>
      </w:r>
      <w:r w:rsidRPr="003E1EC5">
        <w:rPr>
          <w:rFonts w:cs="Arial"/>
        </w:rPr>
        <w:t>item</w:t>
      </w:r>
      <w:r>
        <w:rPr>
          <w:rFonts w:cs="Arial"/>
        </w:rPr>
        <w:t>(s) on the Repair Warranty Form</w:t>
      </w:r>
      <w:r w:rsidRPr="003E1EC5">
        <w:rPr>
          <w:rFonts w:cs="Arial"/>
        </w:rPr>
        <w:t xml:space="preserve"> is assessed as warranted, the </w:t>
      </w:r>
      <w:r>
        <w:rPr>
          <w:rFonts w:cs="Arial"/>
        </w:rPr>
        <w:t>deposit</w:t>
      </w:r>
      <w:r w:rsidRPr="003E1EC5">
        <w:rPr>
          <w:rFonts w:cs="Arial"/>
        </w:rPr>
        <w:t xml:space="preserve"> will be refunded.  If the item</w:t>
      </w:r>
      <w:r>
        <w:rPr>
          <w:rFonts w:cs="Arial"/>
        </w:rPr>
        <w:t>(s)</w:t>
      </w:r>
      <w:r w:rsidRPr="003E1EC5">
        <w:rPr>
          <w:rFonts w:cs="Arial"/>
        </w:rPr>
        <w:t xml:space="preserve"> is assessed as not warranted, the </w:t>
      </w:r>
      <w:r>
        <w:rPr>
          <w:rFonts w:cs="Arial"/>
        </w:rPr>
        <w:t>deposit</w:t>
      </w:r>
      <w:r w:rsidRPr="003E1EC5">
        <w:rPr>
          <w:rFonts w:cs="Arial"/>
        </w:rPr>
        <w:t xml:space="preserve"> will not be refunded.</w:t>
      </w:r>
      <w:r>
        <w:rPr>
          <w:rFonts w:cs="Arial"/>
        </w:rPr>
        <w:t xml:space="preserve">  Please note that, if a conciliation deposit was already paid with respect to the original statutory warranty form containing the disputed item(s), no further deposit will be required.</w:t>
      </w:r>
    </w:p>
    <w:p w14:paraId="7349B0BC" w14:textId="77777777" w:rsidR="00E358A1" w:rsidRDefault="00E358A1" w:rsidP="00E358A1">
      <w:pPr>
        <w:jc w:val="both"/>
        <w:rPr>
          <w:rFonts w:cs="Arial"/>
        </w:rPr>
      </w:pPr>
    </w:p>
    <w:p w14:paraId="6D0E118F" w14:textId="64DF6D2B" w:rsidR="00E358A1" w:rsidRDefault="00E358A1" w:rsidP="00E358A1">
      <w:pPr>
        <w:jc w:val="both"/>
        <w:rPr>
          <w:rFonts w:cs="Arial"/>
        </w:rPr>
      </w:pPr>
      <w:r w:rsidRPr="003E1EC5">
        <w:rPr>
          <w:rFonts w:cs="Arial"/>
        </w:rPr>
        <w:t xml:space="preserve">If Tarion determines that at least one item is warranted, the </w:t>
      </w:r>
      <w:r>
        <w:rPr>
          <w:rFonts w:cs="Arial"/>
        </w:rPr>
        <w:t xml:space="preserve">repair warranty </w:t>
      </w:r>
      <w:r w:rsidRPr="003E1EC5">
        <w:rPr>
          <w:rFonts w:cs="Arial"/>
        </w:rPr>
        <w:t xml:space="preserve">conciliation will be chargeable to the builder unless an exception(s) to chargeability applies, as set out in </w:t>
      </w:r>
      <w:hyperlink r:id="rId14" w:history="1">
        <w:r w:rsidRPr="00822CBF">
          <w:rPr>
            <w:rStyle w:val="Hyperlink"/>
            <w:rFonts w:cs="Arial"/>
          </w:rPr>
          <w:t>Builder Bulletin 20 – How Chargeability is Determined and Applied</w:t>
        </w:r>
      </w:hyperlink>
      <w:r w:rsidRPr="003E1EC5">
        <w:rPr>
          <w:rFonts w:cs="Arial"/>
        </w:rPr>
        <w:t xml:space="preserve">.  </w:t>
      </w:r>
      <w:r>
        <w:rPr>
          <w:rFonts w:cs="Arial"/>
        </w:rPr>
        <w:t xml:space="preserve">In these cases, the builder will pay a prescribed conciliation fee.  </w:t>
      </w:r>
      <w:r w:rsidRPr="003E1EC5">
        <w:rPr>
          <w:rFonts w:cs="Arial"/>
        </w:rPr>
        <w:t xml:space="preserve">Please refer to </w:t>
      </w:r>
      <w:hyperlink r:id="rId15" w:history="1">
        <w:r w:rsidRPr="00822CBF">
          <w:rPr>
            <w:rStyle w:val="Hyperlink"/>
            <w:rFonts w:cs="Arial"/>
          </w:rPr>
          <w:t>Builder Bulletin 20 – How Chargeability is Determined and Applied</w:t>
        </w:r>
      </w:hyperlink>
      <w:r w:rsidRPr="003E1EC5">
        <w:rPr>
          <w:rFonts w:cs="Arial"/>
        </w:rPr>
        <w:t xml:space="preserve"> for more information on chargeable conciliations. </w:t>
      </w:r>
    </w:p>
    <w:p w14:paraId="4FC47F21" w14:textId="77777777" w:rsidR="00E358A1" w:rsidRDefault="00E358A1" w:rsidP="00E358A1">
      <w:pPr>
        <w:jc w:val="both"/>
        <w:rPr>
          <w:rFonts w:cs="Arial"/>
        </w:rPr>
      </w:pPr>
    </w:p>
    <w:p w14:paraId="404DE948" w14:textId="77777777" w:rsidR="00E358A1" w:rsidRDefault="00E358A1" w:rsidP="00E358A1">
      <w:pPr>
        <w:jc w:val="both"/>
        <w:rPr>
          <w:rFonts w:cs="Arial"/>
        </w:rPr>
      </w:pPr>
      <w:r w:rsidRPr="003E1EC5">
        <w:rPr>
          <w:rFonts w:cs="Arial"/>
        </w:rPr>
        <w:t xml:space="preserve">Tarion will proceed to </w:t>
      </w:r>
      <w:r>
        <w:rPr>
          <w:rFonts w:cs="Arial"/>
        </w:rPr>
        <w:t>resolve</w:t>
      </w:r>
      <w:r w:rsidRPr="003E1EC5">
        <w:rPr>
          <w:rFonts w:cs="Arial"/>
        </w:rPr>
        <w:t xml:space="preserve"> the </w:t>
      </w:r>
      <w:r>
        <w:rPr>
          <w:rFonts w:cs="Arial"/>
        </w:rPr>
        <w:t xml:space="preserve">warranted </w:t>
      </w:r>
      <w:r w:rsidRPr="003E1EC5">
        <w:rPr>
          <w:rFonts w:cs="Arial"/>
        </w:rPr>
        <w:t>item</w:t>
      </w:r>
      <w:r>
        <w:rPr>
          <w:rFonts w:cs="Arial"/>
        </w:rPr>
        <w:t>(s)</w:t>
      </w:r>
      <w:r w:rsidRPr="003E1EC5">
        <w:rPr>
          <w:rFonts w:cs="Arial"/>
        </w:rPr>
        <w:t xml:space="preserve"> directly with the homeowner.  Tarion </w:t>
      </w:r>
      <w:r>
        <w:rPr>
          <w:rFonts w:cs="Arial"/>
        </w:rPr>
        <w:t>may</w:t>
      </w:r>
      <w:r w:rsidRPr="003E1EC5">
        <w:rPr>
          <w:rFonts w:cs="Arial"/>
        </w:rPr>
        <w:t xml:space="preserve"> pay compensation to the homeowner or </w:t>
      </w:r>
      <w:r>
        <w:rPr>
          <w:rFonts w:cs="Arial"/>
        </w:rPr>
        <w:t>in its discretion</w:t>
      </w:r>
      <w:r w:rsidRPr="003E1EC5">
        <w:rPr>
          <w:rFonts w:cs="Arial"/>
        </w:rPr>
        <w:t xml:space="preserve"> arrange for the repairs</w:t>
      </w:r>
      <w:r>
        <w:rPr>
          <w:rFonts w:cs="Arial"/>
        </w:rPr>
        <w:t>.  Tarion will</w:t>
      </w:r>
      <w:r w:rsidRPr="003E1EC5">
        <w:rPr>
          <w:rFonts w:cs="Arial"/>
        </w:rPr>
        <w:t xml:space="preserve"> invoice the builder for the amount of the compensation or repair costs, plus an administration fee of 15 percent and applicable taxes.  Tarion will also update </w:t>
      </w:r>
      <w:r>
        <w:rPr>
          <w:rFonts w:cs="Arial"/>
        </w:rPr>
        <w:t>it</w:t>
      </w:r>
      <w:r w:rsidRPr="003E1EC5">
        <w:rPr>
          <w:rFonts w:cs="Arial"/>
        </w:rPr>
        <w:t xml:space="preserve">s website (Ontario Builder Directory) to reflect the </w:t>
      </w:r>
      <w:r>
        <w:rPr>
          <w:rFonts w:cs="Arial"/>
        </w:rPr>
        <w:t xml:space="preserve">paid claim on the </w:t>
      </w:r>
      <w:r w:rsidRPr="003E1EC5">
        <w:rPr>
          <w:rFonts w:cs="Arial"/>
        </w:rPr>
        <w:t>builder</w:t>
      </w:r>
      <w:r>
        <w:rPr>
          <w:rFonts w:cs="Arial"/>
        </w:rPr>
        <w:t>’s record</w:t>
      </w:r>
      <w:r w:rsidRPr="003E1EC5">
        <w:rPr>
          <w:rFonts w:cs="Arial"/>
        </w:rPr>
        <w:t>.</w:t>
      </w:r>
    </w:p>
    <w:p w14:paraId="733FCFD8" w14:textId="1DB31091" w:rsidR="004117A5" w:rsidRDefault="004117A5" w:rsidP="00E358A1">
      <w:pPr>
        <w:rPr>
          <w:rFonts w:cs="Arial"/>
          <w:lang w:bidi="en-US"/>
        </w:rPr>
      </w:pPr>
    </w:p>
    <w:p w14:paraId="163FC614" w14:textId="77777777" w:rsidR="0003351E" w:rsidRPr="0003351E" w:rsidRDefault="0003351E" w:rsidP="0003351E">
      <w:pPr>
        <w:jc w:val="both"/>
        <w:rPr>
          <w:rFonts w:cs="Arial"/>
          <w:b/>
          <w:color w:val="6787B7"/>
          <w:sz w:val="24"/>
          <w:szCs w:val="24"/>
          <w:lang w:bidi="en-US"/>
        </w:rPr>
      </w:pPr>
      <w:r w:rsidRPr="0003351E">
        <w:rPr>
          <w:rFonts w:cs="Arial"/>
          <w:b/>
          <w:color w:val="6787B7"/>
          <w:sz w:val="24"/>
          <w:szCs w:val="24"/>
          <w:lang w:bidi="en-US"/>
        </w:rPr>
        <w:t>Scenarios/Examples</w:t>
      </w:r>
    </w:p>
    <w:p w14:paraId="279E99B4" w14:textId="77777777" w:rsidR="0003351E" w:rsidRDefault="0003351E" w:rsidP="0003351E">
      <w:pPr>
        <w:pStyle w:val="ListParagraph"/>
        <w:spacing w:after="0" w:line="240" w:lineRule="auto"/>
        <w:ind w:left="0"/>
        <w:contextualSpacing w:val="0"/>
        <w:jc w:val="both"/>
        <w:rPr>
          <w:rFonts w:ascii="Arial" w:hAnsi="Arial" w:cs="Arial"/>
          <w:b/>
          <w:sz w:val="20"/>
        </w:rPr>
      </w:pPr>
    </w:p>
    <w:p w14:paraId="0A7B4DDC" w14:textId="77777777" w:rsidR="0003351E" w:rsidRDefault="0003351E" w:rsidP="0003351E">
      <w:pPr>
        <w:pStyle w:val="ListParagraph"/>
        <w:spacing w:after="0" w:line="240" w:lineRule="auto"/>
        <w:ind w:left="0"/>
        <w:contextualSpacing w:val="0"/>
        <w:jc w:val="both"/>
        <w:rPr>
          <w:rFonts w:ascii="Arial" w:hAnsi="Arial" w:cs="Arial"/>
          <w:sz w:val="20"/>
        </w:rPr>
      </w:pPr>
      <w:r>
        <w:rPr>
          <w:rFonts w:ascii="Arial" w:hAnsi="Arial" w:cs="Arial"/>
          <w:sz w:val="20"/>
        </w:rPr>
        <w:t>Here is how the repair warranty works.  It differs depending on whether the disputed item was assessed by Tarion at a conciliation held on the original statutory warranty form</w:t>
      </w:r>
      <w:r w:rsidRPr="00923BA8">
        <w:rPr>
          <w:rFonts w:ascii="Arial" w:hAnsi="Arial" w:cs="Arial"/>
          <w:sz w:val="20"/>
        </w:rPr>
        <w:t>:</w:t>
      </w:r>
      <w:r>
        <w:rPr>
          <w:rFonts w:ascii="Arial" w:hAnsi="Arial" w:cs="Arial"/>
          <w:sz w:val="20"/>
        </w:rPr>
        <w:t xml:space="preserve">  </w:t>
      </w:r>
    </w:p>
    <w:p w14:paraId="37669EA1" w14:textId="77777777" w:rsidR="0003351E" w:rsidRDefault="0003351E" w:rsidP="0003351E">
      <w:pPr>
        <w:pStyle w:val="ListParagraph"/>
        <w:spacing w:after="0" w:line="240" w:lineRule="auto"/>
        <w:ind w:left="0"/>
        <w:contextualSpacing w:val="0"/>
        <w:jc w:val="both"/>
        <w:rPr>
          <w:rFonts w:ascii="Arial" w:hAnsi="Arial" w:cs="Arial"/>
          <w:sz w:val="20"/>
        </w:rPr>
      </w:pPr>
    </w:p>
    <w:p w14:paraId="76E058AE" w14:textId="77777777" w:rsidR="0003351E" w:rsidRPr="006B5474" w:rsidRDefault="0003351E" w:rsidP="0003351E">
      <w:pPr>
        <w:pStyle w:val="ListParagraph"/>
        <w:numPr>
          <w:ilvl w:val="0"/>
          <w:numId w:val="37"/>
        </w:numPr>
        <w:spacing w:after="0" w:line="240" w:lineRule="auto"/>
        <w:contextualSpacing w:val="0"/>
        <w:jc w:val="both"/>
        <w:rPr>
          <w:rFonts w:ascii="Arial" w:hAnsi="Arial" w:cs="Arial"/>
          <w:sz w:val="20"/>
          <w:u w:val="single"/>
        </w:rPr>
      </w:pPr>
      <w:r w:rsidRPr="006B5474">
        <w:rPr>
          <w:rFonts w:ascii="Arial" w:hAnsi="Arial" w:cs="Arial"/>
          <w:sz w:val="20"/>
          <w:u w:val="single"/>
        </w:rPr>
        <w:t>Conciliation is held</w:t>
      </w:r>
    </w:p>
    <w:p w14:paraId="17B71562" w14:textId="77777777" w:rsidR="0003351E" w:rsidRDefault="0003351E" w:rsidP="0003351E">
      <w:pPr>
        <w:pStyle w:val="ListParagraph"/>
        <w:spacing w:after="0" w:line="240" w:lineRule="auto"/>
        <w:ind w:left="1080"/>
        <w:contextualSpacing w:val="0"/>
        <w:jc w:val="both"/>
        <w:rPr>
          <w:rFonts w:ascii="Arial" w:hAnsi="Arial" w:cs="Arial"/>
          <w:sz w:val="20"/>
        </w:rPr>
      </w:pPr>
    </w:p>
    <w:p w14:paraId="65BC01FA" w14:textId="77777777" w:rsidR="0003351E" w:rsidRDefault="0003351E" w:rsidP="0003351E">
      <w:pPr>
        <w:pStyle w:val="ListParagraph"/>
        <w:spacing w:after="0" w:line="240" w:lineRule="auto"/>
        <w:ind w:left="1080"/>
        <w:contextualSpacing w:val="0"/>
        <w:jc w:val="both"/>
        <w:rPr>
          <w:rFonts w:ascii="Arial" w:hAnsi="Arial" w:cs="Arial"/>
          <w:sz w:val="20"/>
        </w:rPr>
      </w:pPr>
      <w:r>
        <w:rPr>
          <w:rFonts w:ascii="Arial" w:hAnsi="Arial" w:cs="Arial"/>
          <w:sz w:val="20"/>
        </w:rPr>
        <w:t xml:space="preserve">In this scenario, Tarion determines whether a disputed item on the original statutory warranty form is warranted or not and issues a Warranty Assessment Report.  The builder will be required to repair or resolve the warranted items within the applicable post-conciliation timeframe.  If the builder does repairs, those repairs must be done in a workmanlike manner, free from defects in materials and in accordance with the Ontario Building Code.  This repair warranty is effective from the date the repair is completed for a period of one year or the remaining length of the underlying warranty applicable to the item, whichever period is longer.  </w:t>
      </w:r>
    </w:p>
    <w:p w14:paraId="78A4C88E" w14:textId="77777777" w:rsidR="0003351E" w:rsidRDefault="0003351E" w:rsidP="0003351E">
      <w:pPr>
        <w:pStyle w:val="ListParagraph"/>
        <w:spacing w:after="0" w:line="240" w:lineRule="auto"/>
        <w:ind w:left="1080"/>
        <w:contextualSpacing w:val="0"/>
        <w:jc w:val="both"/>
        <w:rPr>
          <w:rFonts w:ascii="Arial" w:hAnsi="Arial" w:cs="Arial"/>
          <w:sz w:val="20"/>
        </w:rPr>
      </w:pPr>
    </w:p>
    <w:p w14:paraId="64AEEFA3" w14:textId="508225DE" w:rsidR="0003351E" w:rsidRDefault="0003351E" w:rsidP="0003351E">
      <w:pPr>
        <w:pStyle w:val="ListParagraph"/>
        <w:spacing w:after="0" w:line="240" w:lineRule="auto"/>
        <w:ind w:left="1080"/>
        <w:contextualSpacing w:val="0"/>
        <w:jc w:val="both"/>
        <w:rPr>
          <w:rFonts w:ascii="Arial" w:hAnsi="Arial" w:cs="Arial"/>
          <w:sz w:val="20"/>
        </w:rPr>
      </w:pPr>
      <w:r>
        <w:rPr>
          <w:rFonts w:ascii="Arial" w:hAnsi="Arial" w:cs="Arial"/>
          <w:sz w:val="20"/>
        </w:rPr>
        <w:t>Example: Foundation water leak is reported on a 30-Day Form.  The builder does not take any action.  Following a conciliation, Tarion assesses the item as warranted and the builder makes repairs in the post-conciliation period.  The repairs are warranted until expiry of the second year warranties since foundation water leaks are covered for two years.  If the repairs fail within that timeframe, the homeowner can submit a Repair Warranty Form to initiate the repair warranty claim</w:t>
      </w:r>
      <w:r w:rsidR="0044648C">
        <w:rPr>
          <w:rFonts w:ascii="Arial" w:hAnsi="Arial" w:cs="Arial"/>
          <w:sz w:val="20"/>
        </w:rPr>
        <w:t>s</w:t>
      </w:r>
      <w:r>
        <w:rPr>
          <w:rFonts w:ascii="Arial" w:hAnsi="Arial" w:cs="Arial"/>
          <w:sz w:val="20"/>
        </w:rPr>
        <w:t xml:space="preserve"> process.  </w:t>
      </w:r>
    </w:p>
    <w:p w14:paraId="262C2A64" w14:textId="77777777" w:rsidR="0003351E" w:rsidRDefault="0003351E" w:rsidP="0003351E">
      <w:pPr>
        <w:pStyle w:val="ListParagraph"/>
        <w:spacing w:after="0" w:line="240" w:lineRule="auto"/>
        <w:ind w:left="1080"/>
        <w:contextualSpacing w:val="0"/>
        <w:jc w:val="both"/>
        <w:rPr>
          <w:rFonts w:ascii="Arial" w:hAnsi="Arial" w:cs="Arial"/>
          <w:sz w:val="20"/>
        </w:rPr>
      </w:pPr>
    </w:p>
    <w:p w14:paraId="07630092" w14:textId="77777777" w:rsidR="0003351E" w:rsidRDefault="0003351E" w:rsidP="0003351E">
      <w:pPr>
        <w:pStyle w:val="ListParagraph"/>
        <w:spacing w:after="0" w:line="240" w:lineRule="auto"/>
        <w:ind w:left="1080"/>
        <w:contextualSpacing w:val="0"/>
        <w:jc w:val="both"/>
        <w:rPr>
          <w:rFonts w:ascii="Arial" w:hAnsi="Arial" w:cs="Arial"/>
          <w:sz w:val="20"/>
        </w:rPr>
      </w:pPr>
      <w:r>
        <w:rPr>
          <w:rFonts w:ascii="Arial" w:hAnsi="Arial" w:cs="Arial"/>
          <w:sz w:val="20"/>
        </w:rPr>
        <w:t>It is also possible that a disputed item will be assessed as not warranted because it has been (apparently) properly repaired.  However, if that repair later fails within one year from the repair completion date or the expiry of the underlying warranty, whichever period is longer, the homeowner may submit a Repair Warranty Form and request a repair conciliation to re-assess that item.</w:t>
      </w:r>
    </w:p>
    <w:p w14:paraId="4AAF2879" w14:textId="77777777" w:rsidR="00B91F96" w:rsidRDefault="00B91F96" w:rsidP="0003351E">
      <w:pPr>
        <w:pStyle w:val="ListParagraph"/>
        <w:spacing w:after="0" w:line="240" w:lineRule="auto"/>
        <w:ind w:left="1080"/>
        <w:contextualSpacing w:val="0"/>
        <w:jc w:val="both"/>
        <w:rPr>
          <w:rFonts w:ascii="Arial" w:hAnsi="Arial" w:cs="Arial"/>
          <w:sz w:val="20"/>
        </w:rPr>
      </w:pPr>
    </w:p>
    <w:p w14:paraId="3CB095B4" w14:textId="77777777" w:rsidR="00B91F96" w:rsidRDefault="00B91F96" w:rsidP="0003351E">
      <w:pPr>
        <w:pStyle w:val="ListParagraph"/>
        <w:spacing w:after="0" w:line="240" w:lineRule="auto"/>
        <w:ind w:left="1080"/>
        <w:contextualSpacing w:val="0"/>
        <w:jc w:val="both"/>
        <w:rPr>
          <w:rFonts w:ascii="Arial" w:hAnsi="Arial" w:cs="Arial"/>
          <w:sz w:val="20"/>
        </w:rPr>
      </w:pPr>
    </w:p>
    <w:p w14:paraId="7C198407" w14:textId="77777777" w:rsidR="0003351E" w:rsidRDefault="0003351E" w:rsidP="0003351E">
      <w:pPr>
        <w:pStyle w:val="ListParagraph"/>
        <w:spacing w:after="0" w:line="240" w:lineRule="auto"/>
        <w:ind w:left="1080"/>
        <w:contextualSpacing w:val="0"/>
        <w:jc w:val="both"/>
        <w:rPr>
          <w:rFonts w:ascii="Arial" w:hAnsi="Arial" w:cs="Arial"/>
          <w:sz w:val="20"/>
        </w:rPr>
      </w:pPr>
    </w:p>
    <w:p w14:paraId="6D28F14F" w14:textId="77777777" w:rsidR="0003351E" w:rsidRDefault="0003351E" w:rsidP="0003351E">
      <w:pPr>
        <w:pStyle w:val="ListParagraph"/>
        <w:numPr>
          <w:ilvl w:val="0"/>
          <w:numId w:val="37"/>
        </w:numPr>
        <w:spacing w:after="0" w:line="240" w:lineRule="auto"/>
        <w:contextualSpacing w:val="0"/>
        <w:jc w:val="both"/>
        <w:rPr>
          <w:rFonts w:ascii="Arial" w:hAnsi="Arial" w:cs="Arial"/>
          <w:sz w:val="20"/>
          <w:u w:val="single"/>
        </w:rPr>
      </w:pPr>
      <w:r w:rsidRPr="006B5474">
        <w:rPr>
          <w:rFonts w:ascii="Arial" w:hAnsi="Arial" w:cs="Arial"/>
          <w:sz w:val="20"/>
          <w:u w:val="single"/>
        </w:rPr>
        <w:t>Conciliation is either not requested or is cancelled at the homeowner’s request</w:t>
      </w:r>
    </w:p>
    <w:p w14:paraId="3A7FCF91" w14:textId="56BE5331" w:rsidR="0003351E" w:rsidRPr="0003351E" w:rsidRDefault="0003351E" w:rsidP="0003351E">
      <w:pPr>
        <w:pStyle w:val="ListParagraph"/>
        <w:spacing w:after="0" w:line="240" w:lineRule="auto"/>
        <w:ind w:left="1080"/>
        <w:contextualSpacing w:val="0"/>
        <w:jc w:val="both"/>
        <w:rPr>
          <w:rFonts w:ascii="Arial" w:hAnsi="Arial" w:cs="Arial"/>
          <w:sz w:val="20"/>
          <w:u w:val="single"/>
        </w:rPr>
      </w:pPr>
      <w:r w:rsidRPr="0003351E">
        <w:rPr>
          <w:rFonts w:ascii="Arial" w:hAnsi="Arial" w:cs="Arial"/>
          <w:sz w:val="20"/>
        </w:rPr>
        <w:t>In this scenario, Tarion does not have an opportunity to assess the items listed on the statutory warranty form.  These items are deemed withdrawn/resolved.  However, if a builder repair to one or more of the items listed on the form subsequently fails, the homeowner may submit a Repair Warranty Form within one year from the repair completion date for that item or the expiry of the underlying warranty, whichever period is longer.</w:t>
      </w:r>
    </w:p>
    <w:p w14:paraId="544AC8DD" w14:textId="77777777" w:rsidR="0003351E" w:rsidRDefault="0003351E" w:rsidP="0003351E">
      <w:pPr>
        <w:pStyle w:val="ListParagraph"/>
        <w:spacing w:after="0" w:line="240" w:lineRule="auto"/>
        <w:ind w:left="1080"/>
        <w:contextualSpacing w:val="0"/>
        <w:jc w:val="both"/>
        <w:rPr>
          <w:rFonts w:ascii="Arial" w:hAnsi="Arial" w:cs="Arial"/>
          <w:sz w:val="20"/>
        </w:rPr>
      </w:pPr>
    </w:p>
    <w:p w14:paraId="5408A24C" w14:textId="2BF39B07" w:rsidR="0003351E" w:rsidRDefault="0003351E" w:rsidP="0003351E">
      <w:pPr>
        <w:ind w:left="1134"/>
        <w:rPr>
          <w:rFonts w:cs="Arial"/>
        </w:rPr>
      </w:pPr>
      <w:r>
        <w:rPr>
          <w:rFonts w:cs="Arial"/>
        </w:rPr>
        <w:t xml:space="preserve">Example: A cracked tile was noted on the Pre-Delivery Inspection form and reported to Tarion on the Year-End Form.  The builder does repairs in the builder repair period and the issue appears resolved so the homeowner does not request a conciliation.  </w:t>
      </w:r>
      <w:r w:rsidRPr="00923BA8">
        <w:rPr>
          <w:rFonts w:cs="Arial"/>
        </w:rPr>
        <w:t>Two</w:t>
      </w:r>
      <w:r>
        <w:rPr>
          <w:rFonts w:cs="Arial"/>
        </w:rPr>
        <w:t xml:space="preserve"> months after the repairs are done, the crack reoccurs on the same tile.  The homeowner can submit a Repair Warranty Form to initiate the repair warranty claim</w:t>
      </w:r>
      <w:r w:rsidR="0044648C">
        <w:rPr>
          <w:rFonts w:cs="Arial"/>
        </w:rPr>
        <w:t>s</w:t>
      </w:r>
      <w:r>
        <w:rPr>
          <w:rFonts w:cs="Arial"/>
        </w:rPr>
        <w:t xml:space="preserve"> process.    </w:t>
      </w:r>
    </w:p>
    <w:p w14:paraId="6A47198B" w14:textId="77777777" w:rsidR="0003351E" w:rsidRDefault="0003351E" w:rsidP="0003351E">
      <w:pPr>
        <w:jc w:val="both"/>
        <w:rPr>
          <w:rFonts w:cs="Arial"/>
          <w:b/>
        </w:rPr>
      </w:pPr>
    </w:p>
    <w:p w14:paraId="44ABE4D4" w14:textId="77777777" w:rsidR="0003351E" w:rsidRPr="00EC2B7F" w:rsidRDefault="0003351E" w:rsidP="0003351E">
      <w:pPr>
        <w:ind w:left="414" w:firstLine="720"/>
        <w:jc w:val="both"/>
        <w:rPr>
          <w:rFonts w:cs="Arial"/>
        </w:rPr>
      </w:pPr>
      <w:r w:rsidRPr="0003351E">
        <w:rPr>
          <w:rFonts w:cs="Arial"/>
        </w:rPr>
        <w:t>This example is represented visually at the end of this Bulletin, before Appendix A.</w:t>
      </w:r>
      <w:r>
        <w:rPr>
          <w:rFonts w:cs="Arial"/>
        </w:rPr>
        <w:t xml:space="preserve"> </w:t>
      </w:r>
    </w:p>
    <w:p w14:paraId="01DCFF6E" w14:textId="77777777" w:rsidR="0003351E" w:rsidRDefault="0003351E" w:rsidP="00E358A1">
      <w:pPr>
        <w:rPr>
          <w:rFonts w:cs="Arial"/>
          <w:lang w:bidi="en-US"/>
        </w:rPr>
      </w:pPr>
    </w:p>
    <w:p w14:paraId="2C9173BD" w14:textId="77777777" w:rsidR="00B13DBB" w:rsidRPr="00F15D68" w:rsidRDefault="00B13DBB" w:rsidP="00B13DBB">
      <w:pPr>
        <w:pBdr>
          <w:bottom w:val="single" w:sz="12" w:space="1" w:color="auto"/>
        </w:pBdr>
        <w:rPr>
          <w:rFonts w:cs="Arial"/>
          <w:lang w:bidi="en-US"/>
        </w:rPr>
      </w:pPr>
    </w:p>
    <w:p w14:paraId="630214E8" w14:textId="4403845D" w:rsidR="000620AC" w:rsidRPr="00B13DBB" w:rsidRDefault="00B13DBB" w:rsidP="00B13DBB">
      <w:pPr>
        <w:pStyle w:val="Tarion-ReportHeading1"/>
      </w:pPr>
      <w:r>
        <w:t>Mul</w:t>
      </w:r>
      <w:r w:rsidRPr="00B13DBB">
        <w:t xml:space="preserve">tiple Repair Attempts </w:t>
      </w:r>
      <w:r>
        <w:t>o</w:t>
      </w:r>
      <w:r w:rsidRPr="00B13DBB">
        <w:t xml:space="preserve">n Same Item </w:t>
      </w:r>
    </w:p>
    <w:p w14:paraId="158B9E7B" w14:textId="77777777" w:rsidR="000620AC" w:rsidRPr="000620AC" w:rsidRDefault="000620AC" w:rsidP="000620AC">
      <w:pPr>
        <w:rPr>
          <w:rFonts w:cs="Arial"/>
          <w:lang w:bidi="en-US"/>
        </w:rPr>
      </w:pPr>
      <w:r w:rsidRPr="000620AC">
        <w:rPr>
          <w:rFonts w:cs="Arial"/>
          <w:lang w:bidi="en-US"/>
        </w:rPr>
        <w:t>Tarion encourages builders and homeowners to work together to resolve disputes over deficiencies.  However, some repairs are more complex than others and there may be situations where a builder may make repeated attempts to repair the same item.  In such cases, where those repairs fail, the homeowner or builder may request Tarion’s assistance.  Tarion has the discretion to intervene in such circumstances and may include taking any of the following actions:</w:t>
      </w:r>
    </w:p>
    <w:p w14:paraId="284BA3A9" w14:textId="77777777" w:rsidR="000620AC" w:rsidRPr="000620AC" w:rsidRDefault="000620AC" w:rsidP="000620AC">
      <w:pPr>
        <w:rPr>
          <w:rFonts w:cs="Arial"/>
          <w:lang w:bidi="en-US"/>
        </w:rPr>
      </w:pPr>
    </w:p>
    <w:p w14:paraId="78D24F1A" w14:textId="77777777" w:rsidR="000620AC" w:rsidRPr="000620AC" w:rsidRDefault="000620AC" w:rsidP="000620AC">
      <w:pPr>
        <w:numPr>
          <w:ilvl w:val="0"/>
          <w:numId w:val="38"/>
        </w:numPr>
        <w:rPr>
          <w:rFonts w:cs="Arial"/>
          <w:lang w:bidi="en-US"/>
        </w:rPr>
      </w:pPr>
      <w:r w:rsidRPr="000620AC">
        <w:rPr>
          <w:rFonts w:cs="Arial"/>
          <w:lang w:bidi="en-US"/>
        </w:rPr>
        <w:t>Reviewing the scope of previous repairs</w:t>
      </w:r>
    </w:p>
    <w:p w14:paraId="373187F1" w14:textId="77777777" w:rsidR="000620AC" w:rsidRPr="000620AC" w:rsidRDefault="000620AC" w:rsidP="000620AC">
      <w:pPr>
        <w:rPr>
          <w:rFonts w:cs="Arial"/>
          <w:lang w:bidi="en-US"/>
        </w:rPr>
      </w:pPr>
    </w:p>
    <w:p w14:paraId="0238E6D2" w14:textId="77777777" w:rsidR="000620AC" w:rsidRPr="000620AC" w:rsidRDefault="000620AC" w:rsidP="000620AC">
      <w:pPr>
        <w:numPr>
          <w:ilvl w:val="0"/>
          <w:numId w:val="38"/>
        </w:numPr>
        <w:rPr>
          <w:rFonts w:cs="Arial"/>
          <w:lang w:bidi="en-US"/>
        </w:rPr>
      </w:pPr>
      <w:r w:rsidRPr="000620AC">
        <w:rPr>
          <w:rFonts w:cs="Arial"/>
          <w:lang w:bidi="en-US"/>
        </w:rPr>
        <w:t>Asking the builder to provide a plan for next repair steps</w:t>
      </w:r>
    </w:p>
    <w:p w14:paraId="5BFBB797" w14:textId="77777777" w:rsidR="000620AC" w:rsidRPr="000620AC" w:rsidRDefault="000620AC" w:rsidP="000620AC">
      <w:pPr>
        <w:rPr>
          <w:rFonts w:cs="Arial"/>
          <w:lang w:bidi="en-US"/>
        </w:rPr>
      </w:pPr>
    </w:p>
    <w:p w14:paraId="62BF09A0" w14:textId="77777777" w:rsidR="000620AC" w:rsidRPr="000620AC" w:rsidRDefault="000620AC" w:rsidP="000620AC">
      <w:pPr>
        <w:numPr>
          <w:ilvl w:val="0"/>
          <w:numId w:val="38"/>
        </w:numPr>
        <w:rPr>
          <w:rFonts w:cs="Arial"/>
          <w:lang w:bidi="en-US"/>
        </w:rPr>
      </w:pPr>
      <w:r w:rsidRPr="000620AC">
        <w:rPr>
          <w:rFonts w:cs="Arial"/>
          <w:lang w:bidi="en-US"/>
        </w:rPr>
        <w:t>Allowing the builder to proceed with the proposed plan</w:t>
      </w:r>
    </w:p>
    <w:p w14:paraId="55E133F0" w14:textId="77777777" w:rsidR="000620AC" w:rsidRPr="000620AC" w:rsidRDefault="000620AC" w:rsidP="000620AC">
      <w:pPr>
        <w:rPr>
          <w:rFonts w:cs="Arial"/>
          <w:lang w:bidi="en-US"/>
        </w:rPr>
      </w:pPr>
    </w:p>
    <w:p w14:paraId="3B925ED8" w14:textId="77777777" w:rsidR="000620AC" w:rsidRPr="000620AC" w:rsidRDefault="000620AC" w:rsidP="000620AC">
      <w:pPr>
        <w:numPr>
          <w:ilvl w:val="0"/>
          <w:numId w:val="38"/>
        </w:numPr>
        <w:rPr>
          <w:rFonts w:cs="Arial"/>
          <w:lang w:bidi="en-US"/>
        </w:rPr>
      </w:pPr>
      <w:r w:rsidRPr="000620AC">
        <w:rPr>
          <w:rFonts w:cs="Arial"/>
          <w:lang w:bidi="en-US"/>
        </w:rPr>
        <w:t xml:space="preserve">Requiring the builder to hire experts </w:t>
      </w:r>
    </w:p>
    <w:p w14:paraId="794D6A71" w14:textId="77777777" w:rsidR="000620AC" w:rsidRPr="000620AC" w:rsidRDefault="000620AC" w:rsidP="000620AC">
      <w:pPr>
        <w:rPr>
          <w:rFonts w:cs="Arial"/>
          <w:lang w:bidi="en-US"/>
        </w:rPr>
      </w:pPr>
    </w:p>
    <w:p w14:paraId="29F9796C" w14:textId="77777777" w:rsidR="000620AC" w:rsidRPr="000620AC" w:rsidRDefault="000620AC" w:rsidP="000620AC">
      <w:pPr>
        <w:numPr>
          <w:ilvl w:val="0"/>
          <w:numId w:val="38"/>
        </w:numPr>
        <w:rPr>
          <w:rFonts w:cs="Arial"/>
          <w:lang w:bidi="en-US"/>
        </w:rPr>
      </w:pPr>
      <w:r w:rsidRPr="000620AC">
        <w:rPr>
          <w:rFonts w:cs="Arial"/>
          <w:lang w:bidi="en-US"/>
        </w:rPr>
        <w:t>Extending or shortening repair timeframes</w:t>
      </w:r>
    </w:p>
    <w:p w14:paraId="62B3EE30" w14:textId="77777777" w:rsidR="000620AC" w:rsidRPr="000620AC" w:rsidRDefault="000620AC" w:rsidP="000620AC">
      <w:pPr>
        <w:rPr>
          <w:rFonts w:cs="Arial"/>
          <w:lang w:bidi="en-US"/>
        </w:rPr>
      </w:pPr>
    </w:p>
    <w:p w14:paraId="2BC58BFE" w14:textId="77777777" w:rsidR="000620AC" w:rsidRPr="000620AC" w:rsidRDefault="000620AC" w:rsidP="000620AC">
      <w:pPr>
        <w:numPr>
          <w:ilvl w:val="0"/>
          <w:numId w:val="38"/>
        </w:numPr>
        <w:rPr>
          <w:rFonts w:cs="Arial"/>
          <w:lang w:bidi="en-US"/>
        </w:rPr>
      </w:pPr>
      <w:r w:rsidRPr="000620AC">
        <w:rPr>
          <w:rFonts w:cs="Arial"/>
          <w:lang w:bidi="en-US"/>
        </w:rPr>
        <w:t xml:space="preserve">Taking over the claim and resolving it directly with the homeowner (and invoicing the builder for the costs)  </w:t>
      </w:r>
    </w:p>
    <w:p w14:paraId="54985FF8" w14:textId="77777777" w:rsidR="000620AC" w:rsidRPr="000620AC" w:rsidRDefault="000620AC" w:rsidP="000620AC">
      <w:pPr>
        <w:rPr>
          <w:rFonts w:cs="Arial"/>
          <w:lang w:bidi="en-US"/>
        </w:rPr>
      </w:pPr>
    </w:p>
    <w:p w14:paraId="04C954A2" w14:textId="77777777" w:rsidR="00B13DBB" w:rsidRPr="00F15D68" w:rsidRDefault="00B13DBB" w:rsidP="00B13DBB">
      <w:pPr>
        <w:pBdr>
          <w:bottom w:val="single" w:sz="12" w:space="1" w:color="auto"/>
        </w:pBdr>
        <w:rPr>
          <w:rFonts w:cs="Arial"/>
          <w:lang w:bidi="en-US"/>
        </w:rPr>
      </w:pPr>
    </w:p>
    <w:p w14:paraId="28C981D0" w14:textId="64AF3845" w:rsidR="000620AC" w:rsidRPr="00B13DBB" w:rsidRDefault="00B13DBB" w:rsidP="00B13DBB">
      <w:pPr>
        <w:pStyle w:val="Tarion-ReportHeading1"/>
      </w:pPr>
      <w:r w:rsidRPr="00B13DBB">
        <w:t>Common Element Claims – Special Considerations</w:t>
      </w:r>
    </w:p>
    <w:p w14:paraId="0AB8ED33" w14:textId="361DEF1F" w:rsidR="000620AC" w:rsidRDefault="000620AC" w:rsidP="000620AC">
      <w:pPr>
        <w:pStyle w:val="ListParagraph"/>
        <w:spacing w:after="0" w:line="240" w:lineRule="auto"/>
        <w:ind w:left="0"/>
        <w:contextualSpacing w:val="0"/>
        <w:jc w:val="both"/>
        <w:rPr>
          <w:rFonts w:ascii="Arial" w:hAnsi="Arial" w:cs="Arial"/>
          <w:sz w:val="20"/>
        </w:rPr>
      </w:pPr>
      <w:r>
        <w:rPr>
          <w:rFonts w:ascii="Arial" w:hAnsi="Arial" w:cs="Arial"/>
          <w:sz w:val="20"/>
        </w:rPr>
        <w:t xml:space="preserve">Because there is an 18-month initial builder repair period for common element claim items reported within the first year (see </w:t>
      </w:r>
      <w:hyperlink r:id="rId16" w:history="1">
        <w:r w:rsidRPr="00544EAD">
          <w:rPr>
            <w:rStyle w:val="Hyperlink"/>
            <w:rFonts w:ascii="Arial" w:hAnsi="Arial" w:cs="Arial"/>
            <w:sz w:val="20"/>
          </w:rPr>
          <w:t>Builder Bulletin 49 – Claims Process, Condominium Common Elements</w:t>
        </w:r>
      </w:hyperlink>
      <w:r>
        <w:rPr>
          <w:rFonts w:ascii="Arial" w:hAnsi="Arial" w:cs="Arial"/>
          <w:sz w:val="20"/>
        </w:rPr>
        <w:t>), there may be instances where the repair warranty coverage will expire before the builder repair period has elapsed.  For example, where a builder does repairs early in the 18-month repair period, the one year repair warranty will expire before the request for repair conciliation timeframe.  In these instances, if the repair fails, the homeowner will still have a right to request conciliation on the item under the regular CSS process – in other words, the repair warranty does not override existing rights under the regular CSS process.</w:t>
      </w:r>
    </w:p>
    <w:p w14:paraId="7370720D" w14:textId="77777777" w:rsidR="000620AC" w:rsidRPr="008C53BC" w:rsidRDefault="000620AC" w:rsidP="000620AC">
      <w:pPr>
        <w:pStyle w:val="ListParagraph"/>
        <w:spacing w:after="0" w:line="240" w:lineRule="auto"/>
        <w:ind w:left="0"/>
        <w:contextualSpacing w:val="0"/>
        <w:jc w:val="both"/>
        <w:rPr>
          <w:rFonts w:ascii="Arial" w:hAnsi="Arial" w:cs="Arial"/>
          <w:sz w:val="20"/>
        </w:rPr>
      </w:pPr>
    </w:p>
    <w:p w14:paraId="38E6D344" w14:textId="77777777" w:rsidR="001637D0" w:rsidRPr="00F15D68" w:rsidRDefault="001637D0" w:rsidP="001637D0">
      <w:pPr>
        <w:pBdr>
          <w:bottom w:val="single" w:sz="12" w:space="1" w:color="auto"/>
        </w:pBdr>
        <w:rPr>
          <w:rFonts w:cs="Arial"/>
          <w:lang w:bidi="en-US"/>
        </w:rPr>
      </w:pPr>
    </w:p>
    <w:p w14:paraId="5923CE21" w14:textId="1D8BAC24" w:rsidR="000620AC" w:rsidRPr="00092395" w:rsidRDefault="00097F66" w:rsidP="001637D0">
      <w:pPr>
        <w:pStyle w:val="Tarion-ReportHeading1"/>
      </w:pPr>
      <w:r>
        <w:rPr>
          <w:bCs w:val="0"/>
        </w:rPr>
        <w:t>Determination o</w:t>
      </w:r>
      <w:r w:rsidR="001637D0" w:rsidRPr="001637D0">
        <w:rPr>
          <w:bCs w:val="0"/>
        </w:rPr>
        <w:t>f Repair Warranty Start Date</w:t>
      </w:r>
    </w:p>
    <w:p w14:paraId="4DA79B75" w14:textId="77777777" w:rsidR="000620AC" w:rsidRDefault="000620AC" w:rsidP="000620AC">
      <w:pPr>
        <w:pStyle w:val="ListParagraph"/>
        <w:spacing w:after="0" w:line="240" w:lineRule="auto"/>
        <w:ind w:left="0"/>
        <w:contextualSpacing w:val="0"/>
        <w:jc w:val="both"/>
        <w:rPr>
          <w:rFonts w:ascii="Arial" w:hAnsi="Arial" w:cs="Arial"/>
          <w:sz w:val="20"/>
        </w:rPr>
      </w:pPr>
      <w:r>
        <w:rPr>
          <w:rFonts w:ascii="Arial" w:hAnsi="Arial" w:cs="Arial"/>
          <w:sz w:val="20"/>
        </w:rPr>
        <w:t xml:space="preserve">Builders are required to track repairs to all items listed on a statutory warranty form.  They may use their own tracking </w:t>
      </w:r>
      <w:r w:rsidRPr="00923BA8">
        <w:rPr>
          <w:rFonts w:ascii="Arial" w:hAnsi="Arial" w:cs="Arial"/>
          <w:sz w:val="20"/>
        </w:rPr>
        <w:t>system or</w:t>
      </w:r>
      <w:r>
        <w:rPr>
          <w:rFonts w:ascii="Arial" w:hAnsi="Arial" w:cs="Arial"/>
          <w:sz w:val="20"/>
        </w:rPr>
        <w:t xml:space="preserve"> the sample form attached as Appendix A.</w:t>
      </w:r>
    </w:p>
    <w:p w14:paraId="3203BEAE" w14:textId="77777777" w:rsidR="000620AC" w:rsidRDefault="000620AC" w:rsidP="000620AC">
      <w:pPr>
        <w:pStyle w:val="ListParagraph"/>
        <w:spacing w:after="0" w:line="240" w:lineRule="auto"/>
        <w:ind w:left="0"/>
        <w:contextualSpacing w:val="0"/>
        <w:jc w:val="both"/>
        <w:rPr>
          <w:rFonts w:ascii="Arial" w:hAnsi="Arial" w:cs="Arial"/>
          <w:sz w:val="20"/>
        </w:rPr>
      </w:pPr>
    </w:p>
    <w:p w14:paraId="54B6F79F" w14:textId="77777777" w:rsidR="000620AC" w:rsidRDefault="000620AC" w:rsidP="000620AC">
      <w:pPr>
        <w:pStyle w:val="ListParagraph"/>
        <w:spacing w:after="0" w:line="240" w:lineRule="auto"/>
        <w:ind w:left="0"/>
        <w:contextualSpacing w:val="0"/>
        <w:jc w:val="both"/>
        <w:rPr>
          <w:rFonts w:ascii="Arial" w:hAnsi="Arial" w:cs="Arial"/>
          <w:sz w:val="20"/>
        </w:rPr>
      </w:pPr>
      <w:r>
        <w:rPr>
          <w:rFonts w:ascii="Arial" w:hAnsi="Arial" w:cs="Arial"/>
          <w:sz w:val="20"/>
        </w:rPr>
        <w:t>The repair warranty start date will be the day the repair is completed and the onus is on the builder to establish this date.  If the builder cannot establish the repair completion date or the repair completion date is in dispute, Tarion will determine the date according to the information provided by the parties and relevant timelines.</w:t>
      </w:r>
    </w:p>
    <w:p w14:paraId="0A466382" w14:textId="77777777" w:rsidR="000620AC" w:rsidRDefault="000620AC" w:rsidP="000620AC">
      <w:pPr>
        <w:pStyle w:val="ListParagraph"/>
        <w:spacing w:after="0" w:line="240" w:lineRule="auto"/>
        <w:ind w:left="0"/>
        <w:contextualSpacing w:val="0"/>
        <w:jc w:val="both"/>
        <w:rPr>
          <w:rFonts w:ascii="Arial" w:hAnsi="Arial" w:cs="Arial"/>
          <w:sz w:val="20"/>
        </w:rPr>
      </w:pPr>
    </w:p>
    <w:p w14:paraId="49643669" w14:textId="77777777" w:rsidR="000620AC" w:rsidRDefault="000620AC" w:rsidP="000620AC">
      <w:pPr>
        <w:pStyle w:val="ListParagraph"/>
        <w:tabs>
          <w:tab w:val="left" w:pos="2250"/>
        </w:tabs>
        <w:spacing w:after="0" w:line="240" w:lineRule="auto"/>
        <w:ind w:left="0"/>
        <w:contextualSpacing w:val="0"/>
        <w:jc w:val="both"/>
        <w:rPr>
          <w:rFonts w:ascii="Arial" w:hAnsi="Arial" w:cs="Arial"/>
          <w:sz w:val="20"/>
        </w:rPr>
      </w:pPr>
      <w:r>
        <w:rPr>
          <w:rFonts w:ascii="Arial" w:hAnsi="Arial" w:cs="Arial"/>
          <w:sz w:val="20"/>
        </w:rPr>
        <w:t xml:space="preserve">Example: The disputed item is reported on a 30-Day Form.  The item is repaired within the 120-day builder repair period and no conciliation is requested.  </w:t>
      </w:r>
      <w:r w:rsidRPr="00923BA8">
        <w:rPr>
          <w:rFonts w:ascii="Arial" w:hAnsi="Arial" w:cs="Arial"/>
          <w:sz w:val="20"/>
        </w:rPr>
        <w:t>The</w:t>
      </w:r>
      <w:r>
        <w:rPr>
          <w:rFonts w:ascii="Arial" w:hAnsi="Arial" w:cs="Arial"/>
          <w:sz w:val="20"/>
        </w:rPr>
        <w:t xml:space="preserve"> homeowner later submits a Repair Warranty Form.  </w:t>
      </w:r>
      <w:r w:rsidRPr="00923BA8">
        <w:rPr>
          <w:rFonts w:ascii="Arial" w:hAnsi="Arial" w:cs="Arial"/>
          <w:sz w:val="20"/>
        </w:rPr>
        <w:t>The</w:t>
      </w:r>
      <w:r>
        <w:rPr>
          <w:rFonts w:ascii="Arial" w:hAnsi="Arial" w:cs="Arial"/>
          <w:sz w:val="20"/>
        </w:rPr>
        <w:t xml:space="preserve"> builder states that the item was repaired on the 10</w:t>
      </w:r>
      <w:r w:rsidRPr="00D1766B">
        <w:rPr>
          <w:rFonts w:ascii="Arial" w:hAnsi="Arial" w:cs="Arial"/>
          <w:sz w:val="20"/>
          <w:vertAlign w:val="superscript"/>
        </w:rPr>
        <w:t>th</w:t>
      </w:r>
      <w:r>
        <w:rPr>
          <w:rFonts w:ascii="Arial" w:hAnsi="Arial" w:cs="Arial"/>
          <w:sz w:val="20"/>
        </w:rPr>
        <w:t xml:space="preserve"> day of the repair period but the homeowner states that the repair was completed on the 100</w:t>
      </w:r>
      <w:r w:rsidRPr="00D1766B">
        <w:rPr>
          <w:rFonts w:ascii="Arial" w:hAnsi="Arial" w:cs="Arial"/>
          <w:sz w:val="20"/>
          <w:vertAlign w:val="superscript"/>
        </w:rPr>
        <w:t>th</w:t>
      </w:r>
      <w:r>
        <w:rPr>
          <w:rFonts w:ascii="Arial" w:hAnsi="Arial" w:cs="Arial"/>
          <w:sz w:val="20"/>
        </w:rPr>
        <w:t xml:space="preserve"> day of the repair period.  Since it is the builder’s onus, the builder must provide documentation to substantiate the repair date.  If the builder cannot do so Tarion may use the homeowner’s date as the repair completion/repair warranty start date.  </w:t>
      </w:r>
    </w:p>
    <w:p w14:paraId="68271C4C" w14:textId="77777777" w:rsidR="000D0246" w:rsidRPr="00F15D68" w:rsidRDefault="000D0246" w:rsidP="000D0246">
      <w:pPr>
        <w:pBdr>
          <w:bottom w:val="single" w:sz="12" w:space="1" w:color="auto"/>
        </w:pBdr>
        <w:rPr>
          <w:rFonts w:cs="Arial"/>
          <w:lang w:bidi="en-US"/>
        </w:rPr>
      </w:pPr>
    </w:p>
    <w:p w14:paraId="3F75853F" w14:textId="77777777" w:rsidR="000D0246" w:rsidRPr="00092395" w:rsidRDefault="000D0246" w:rsidP="000D0246">
      <w:pPr>
        <w:pStyle w:val="Tarion-ReportHeading1"/>
      </w:pPr>
      <w:r>
        <w:rPr>
          <w:bCs w:val="0"/>
        </w:rPr>
        <w:t>Homeowner Responsibilities</w:t>
      </w:r>
    </w:p>
    <w:p w14:paraId="1A85A279" w14:textId="77777777" w:rsidR="000D0246" w:rsidRDefault="000D0246" w:rsidP="000D0246">
      <w:pPr>
        <w:pStyle w:val="ListParagraph"/>
        <w:spacing w:after="0" w:line="240" w:lineRule="auto"/>
        <w:ind w:left="0"/>
        <w:contextualSpacing w:val="0"/>
        <w:jc w:val="both"/>
        <w:rPr>
          <w:rFonts w:ascii="Arial" w:hAnsi="Arial" w:cs="Arial"/>
          <w:sz w:val="20"/>
        </w:rPr>
      </w:pPr>
      <w:r>
        <w:rPr>
          <w:rFonts w:ascii="Arial" w:hAnsi="Arial" w:cs="Arial"/>
          <w:sz w:val="20"/>
        </w:rPr>
        <w:t xml:space="preserve">Homeowners must ensure that construction defects are reported on a statutory warranty form and are submitted to Tarion within the appropriate timeframe.  If the homeowner feels that a builder repair to those reported defects has failed and the homeowner’s request for conciliation timeframe has elapsed, the homeowner </w:t>
      </w:r>
      <w:r w:rsidRPr="000B3FD0">
        <w:rPr>
          <w:rFonts w:ascii="Arial" w:hAnsi="Arial" w:cs="Arial"/>
          <w:sz w:val="20"/>
        </w:rPr>
        <w:t>can</w:t>
      </w:r>
      <w:r>
        <w:rPr>
          <w:rFonts w:ascii="Arial" w:hAnsi="Arial" w:cs="Arial"/>
          <w:sz w:val="20"/>
        </w:rPr>
        <w:t xml:space="preserve"> submit a Repair Warranty Form to Tarion and the builder.  This form must be submitted within one year from the date the repair was completed or the remaining length of the underlying warranty applicable to the item, whichever period is longer, or the item will be deemed resolved/withdrawn.</w:t>
      </w:r>
    </w:p>
    <w:p w14:paraId="13B6B49B" w14:textId="77777777" w:rsidR="000D0246" w:rsidRDefault="000D0246" w:rsidP="000D0246">
      <w:pPr>
        <w:pStyle w:val="ListParagraph"/>
        <w:spacing w:after="0" w:line="240" w:lineRule="auto"/>
        <w:ind w:left="0"/>
        <w:contextualSpacing w:val="0"/>
        <w:jc w:val="both"/>
        <w:rPr>
          <w:rFonts w:ascii="Arial" w:hAnsi="Arial" w:cs="Arial"/>
          <w:sz w:val="20"/>
        </w:rPr>
      </w:pPr>
    </w:p>
    <w:p w14:paraId="633B5E12" w14:textId="77777777" w:rsidR="000D0246" w:rsidRDefault="000D0246" w:rsidP="000D0246">
      <w:pPr>
        <w:pStyle w:val="ListParagraph"/>
        <w:spacing w:after="0" w:line="240" w:lineRule="auto"/>
        <w:ind w:left="0"/>
        <w:contextualSpacing w:val="0"/>
        <w:jc w:val="both"/>
        <w:rPr>
          <w:rFonts w:ascii="Arial" w:hAnsi="Arial" w:cs="Arial"/>
          <w:sz w:val="20"/>
        </w:rPr>
      </w:pPr>
      <w:r>
        <w:rPr>
          <w:rFonts w:ascii="Arial" w:hAnsi="Arial" w:cs="Arial"/>
          <w:sz w:val="20"/>
        </w:rPr>
        <w:t>The homeowner must allow the builder reasonable access for the 30-day or 90-day repair period following submission of the Repair Warranty Form.</w:t>
      </w:r>
    </w:p>
    <w:p w14:paraId="7794C87B" w14:textId="77777777" w:rsidR="000D0246" w:rsidRDefault="000D0246" w:rsidP="000D0246">
      <w:pPr>
        <w:pStyle w:val="ListParagraph"/>
        <w:spacing w:after="0" w:line="240" w:lineRule="auto"/>
        <w:ind w:left="0"/>
        <w:contextualSpacing w:val="0"/>
        <w:jc w:val="both"/>
        <w:rPr>
          <w:rFonts w:ascii="Arial" w:hAnsi="Arial" w:cs="Arial"/>
          <w:sz w:val="20"/>
        </w:rPr>
      </w:pPr>
      <w:r>
        <w:rPr>
          <w:rFonts w:ascii="Arial" w:hAnsi="Arial" w:cs="Arial"/>
          <w:sz w:val="20"/>
        </w:rPr>
        <w:t xml:space="preserve">    </w:t>
      </w:r>
    </w:p>
    <w:p w14:paraId="21DBFEC3" w14:textId="77777777" w:rsidR="000D0246" w:rsidRDefault="000D0246" w:rsidP="000D0246">
      <w:pPr>
        <w:pStyle w:val="ListParagraph"/>
        <w:spacing w:after="0" w:line="240" w:lineRule="auto"/>
        <w:ind w:left="0"/>
        <w:contextualSpacing w:val="0"/>
        <w:jc w:val="both"/>
        <w:rPr>
          <w:rFonts w:ascii="Arial" w:hAnsi="Arial" w:cs="Arial"/>
          <w:sz w:val="20"/>
        </w:rPr>
      </w:pPr>
      <w:r>
        <w:rPr>
          <w:rFonts w:ascii="Arial" w:hAnsi="Arial" w:cs="Arial"/>
          <w:sz w:val="20"/>
        </w:rPr>
        <w:t xml:space="preserve">Please refer to </w:t>
      </w:r>
      <w:hyperlink r:id="rId17" w:history="1">
        <w:r w:rsidRPr="0030077E">
          <w:rPr>
            <w:rStyle w:val="Hyperlink"/>
            <w:rFonts w:ascii="Arial" w:hAnsi="Arial" w:cs="Arial"/>
            <w:sz w:val="20"/>
          </w:rPr>
          <w:t>Builder Bulletin 20 – How Chargeability is Determined and Applied</w:t>
        </w:r>
      </w:hyperlink>
      <w:r>
        <w:rPr>
          <w:rFonts w:ascii="Arial" w:hAnsi="Arial" w:cs="Arial"/>
          <w:sz w:val="20"/>
        </w:rPr>
        <w:t xml:space="preserve"> for additional homeowner responsibilities in connection with repairs and access for repairs.</w:t>
      </w:r>
    </w:p>
    <w:p w14:paraId="24883F3A" w14:textId="77777777" w:rsidR="000620AC" w:rsidRPr="00774807" w:rsidRDefault="000620AC" w:rsidP="000620AC">
      <w:pPr>
        <w:pStyle w:val="ListParagraph"/>
        <w:tabs>
          <w:tab w:val="left" w:pos="2250"/>
        </w:tabs>
        <w:spacing w:after="0" w:line="240" w:lineRule="auto"/>
        <w:ind w:left="0"/>
        <w:contextualSpacing w:val="0"/>
        <w:jc w:val="both"/>
        <w:rPr>
          <w:rFonts w:ascii="Arial" w:hAnsi="Arial" w:cs="Arial"/>
          <w:sz w:val="20"/>
        </w:rPr>
      </w:pPr>
    </w:p>
    <w:p w14:paraId="6D1141B8" w14:textId="77777777" w:rsidR="002014F1" w:rsidRPr="00F15D68" w:rsidRDefault="002014F1" w:rsidP="002014F1">
      <w:pPr>
        <w:pBdr>
          <w:bottom w:val="single" w:sz="12" w:space="1" w:color="auto"/>
        </w:pBdr>
        <w:rPr>
          <w:rFonts w:cs="Arial"/>
          <w:lang w:bidi="en-US"/>
        </w:rPr>
      </w:pPr>
    </w:p>
    <w:p w14:paraId="4A132242" w14:textId="522849B5" w:rsidR="002014F1" w:rsidRPr="00092395" w:rsidRDefault="002014F1" w:rsidP="002014F1">
      <w:pPr>
        <w:pStyle w:val="Tarion-ReportHeading1"/>
      </w:pPr>
      <w:r>
        <w:rPr>
          <w:bCs w:val="0"/>
        </w:rPr>
        <w:t>Builder Responsibilities</w:t>
      </w:r>
    </w:p>
    <w:p w14:paraId="0CDE1DF1" w14:textId="47512BF5" w:rsidR="000620AC" w:rsidRDefault="000620AC" w:rsidP="000620AC">
      <w:pPr>
        <w:pStyle w:val="ListParagraph"/>
        <w:spacing w:after="0" w:line="240" w:lineRule="auto"/>
        <w:ind w:left="0"/>
        <w:contextualSpacing w:val="0"/>
        <w:jc w:val="both"/>
        <w:rPr>
          <w:rFonts w:ascii="Arial" w:hAnsi="Arial" w:cs="Arial"/>
          <w:sz w:val="20"/>
        </w:rPr>
      </w:pPr>
      <w:r>
        <w:rPr>
          <w:rFonts w:ascii="Arial" w:hAnsi="Arial" w:cs="Arial"/>
          <w:sz w:val="20"/>
        </w:rPr>
        <w:t xml:space="preserve">Since the onus is on the builder to </w:t>
      </w:r>
      <w:r w:rsidRPr="00923BA8">
        <w:rPr>
          <w:rFonts w:ascii="Arial" w:hAnsi="Arial" w:cs="Arial"/>
          <w:sz w:val="20"/>
        </w:rPr>
        <w:t>accurately</w:t>
      </w:r>
      <w:r>
        <w:rPr>
          <w:rFonts w:ascii="Arial" w:hAnsi="Arial" w:cs="Arial"/>
          <w:sz w:val="20"/>
        </w:rPr>
        <w:t xml:space="preserve"> establish the repair completion date/repair warranty start date, the builder is required to maintain a system for tracking repairs for all items listed on a statutory warranty form.  </w:t>
      </w:r>
      <w:r w:rsidRPr="00923BA8">
        <w:rPr>
          <w:rFonts w:ascii="Arial" w:hAnsi="Arial" w:cs="Arial"/>
          <w:sz w:val="20"/>
        </w:rPr>
        <w:t>The builder’s tracking method may include confirmation emails to homeowners, written documentation, tracking software, the Performance Audit Tracking S</w:t>
      </w:r>
      <w:r w:rsidR="00E92E6A">
        <w:rPr>
          <w:rFonts w:ascii="Arial" w:hAnsi="Arial" w:cs="Arial"/>
          <w:sz w:val="20"/>
        </w:rPr>
        <w:t>ite</w:t>
      </w:r>
      <w:r w:rsidRPr="00923BA8">
        <w:rPr>
          <w:rFonts w:ascii="Arial" w:hAnsi="Arial" w:cs="Arial"/>
          <w:sz w:val="20"/>
        </w:rPr>
        <w:t xml:space="preserve"> (PATS) or other reliable and accurate methods.</w:t>
      </w:r>
    </w:p>
    <w:p w14:paraId="402F54C8" w14:textId="77777777" w:rsidR="000620AC" w:rsidRDefault="000620AC" w:rsidP="000620AC">
      <w:pPr>
        <w:pStyle w:val="ListParagraph"/>
        <w:spacing w:after="0" w:line="240" w:lineRule="auto"/>
        <w:ind w:left="0"/>
        <w:contextualSpacing w:val="0"/>
        <w:jc w:val="both"/>
        <w:rPr>
          <w:rFonts w:ascii="Arial" w:hAnsi="Arial" w:cs="Arial"/>
          <w:sz w:val="20"/>
        </w:rPr>
      </w:pPr>
    </w:p>
    <w:p w14:paraId="72D45944" w14:textId="450CC90F" w:rsidR="000620AC" w:rsidRDefault="000620AC" w:rsidP="000620AC">
      <w:pPr>
        <w:pStyle w:val="ListParagraph"/>
        <w:spacing w:after="0" w:line="240" w:lineRule="auto"/>
        <w:ind w:left="0"/>
        <w:contextualSpacing w:val="0"/>
        <w:jc w:val="both"/>
        <w:rPr>
          <w:rFonts w:ascii="Arial" w:hAnsi="Arial" w:cs="Arial"/>
          <w:sz w:val="20"/>
        </w:rPr>
      </w:pPr>
      <w:r>
        <w:rPr>
          <w:rFonts w:ascii="Arial" w:hAnsi="Arial" w:cs="Arial"/>
          <w:sz w:val="20"/>
        </w:rPr>
        <w:t xml:space="preserve">Please refer to </w:t>
      </w:r>
      <w:hyperlink r:id="rId18" w:history="1">
        <w:r w:rsidRPr="0030077E">
          <w:rPr>
            <w:rStyle w:val="Hyperlink"/>
            <w:rFonts w:ascii="Arial" w:hAnsi="Arial" w:cs="Arial"/>
            <w:sz w:val="20"/>
          </w:rPr>
          <w:t>Builder Bulletin 20 – How Chargeability is Determined and Applied</w:t>
        </w:r>
      </w:hyperlink>
      <w:r>
        <w:rPr>
          <w:rFonts w:ascii="Arial" w:hAnsi="Arial" w:cs="Arial"/>
          <w:sz w:val="20"/>
        </w:rPr>
        <w:t xml:space="preserve"> for additional builder responsibilities in connection with repairs.</w:t>
      </w:r>
    </w:p>
    <w:p w14:paraId="2AB13334" w14:textId="77777777" w:rsidR="000620AC" w:rsidRDefault="000620AC" w:rsidP="000620AC">
      <w:pPr>
        <w:pStyle w:val="Heading2"/>
        <w:jc w:val="both"/>
        <w:rPr>
          <w:rFonts w:cs="Arial"/>
        </w:rPr>
      </w:pPr>
    </w:p>
    <w:p w14:paraId="058CFEEE" w14:textId="77777777" w:rsidR="00EB10C1" w:rsidRPr="00F15D68" w:rsidRDefault="00EB10C1" w:rsidP="00EB10C1">
      <w:pPr>
        <w:pBdr>
          <w:bottom w:val="single" w:sz="12" w:space="1" w:color="auto"/>
        </w:pBdr>
        <w:rPr>
          <w:rFonts w:cs="Arial"/>
          <w:lang w:bidi="en-US"/>
        </w:rPr>
      </w:pPr>
    </w:p>
    <w:p w14:paraId="635E9DEB" w14:textId="2B0D38B8" w:rsidR="000620AC" w:rsidRDefault="00EB10C1" w:rsidP="00EB10C1">
      <w:pPr>
        <w:pStyle w:val="Tarion-ReportHeading1"/>
        <w:rPr>
          <w:b w:val="0"/>
          <w:i/>
          <w:sz w:val="20"/>
          <w:szCs w:val="20"/>
        </w:rPr>
      </w:pPr>
      <w:r>
        <w:rPr>
          <w:bCs w:val="0"/>
        </w:rPr>
        <w:t>Items Placed Under Investigation</w:t>
      </w:r>
    </w:p>
    <w:p w14:paraId="3FDD3316" w14:textId="77777777" w:rsidR="000620AC" w:rsidRDefault="000620AC" w:rsidP="000620AC">
      <w:pPr>
        <w:jc w:val="both"/>
        <w:rPr>
          <w:rFonts w:cs="Arial"/>
        </w:rPr>
      </w:pPr>
      <w:r>
        <w:rPr>
          <w:rFonts w:cs="Arial"/>
        </w:rPr>
        <w:t xml:space="preserve">If, at the time of the repair conciliation, Tarion is not able to determine whether an item is warranted, the </w:t>
      </w:r>
      <w:r w:rsidRPr="00923BA8">
        <w:rPr>
          <w:rFonts w:cs="Arial"/>
        </w:rPr>
        <w:t>item may be</w:t>
      </w:r>
      <w:r>
        <w:rPr>
          <w:rFonts w:cs="Arial"/>
        </w:rPr>
        <w:t xml:space="preserve"> put under investigation and a second inspection or desk assessment </w:t>
      </w:r>
      <w:r w:rsidRPr="00923BA8">
        <w:rPr>
          <w:rFonts w:cs="Arial"/>
        </w:rPr>
        <w:t>may be necessary</w:t>
      </w:r>
      <w:r>
        <w:rPr>
          <w:rFonts w:cs="Arial"/>
        </w:rPr>
        <w:t xml:space="preserve">. This is considered a continuation of the initial repair conciliation.  </w:t>
      </w:r>
    </w:p>
    <w:p w14:paraId="23FDB05B" w14:textId="77777777" w:rsidR="000620AC" w:rsidRDefault="000620AC" w:rsidP="000620AC">
      <w:pPr>
        <w:jc w:val="both"/>
        <w:rPr>
          <w:rFonts w:cs="Arial"/>
        </w:rPr>
      </w:pPr>
    </w:p>
    <w:p w14:paraId="566352F9" w14:textId="2BA23562" w:rsidR="000620AC" w:rsidRDefault="000620AC" w:rsidP="000620AC">
      <w:pPr>
        <w:jc w:val="both"/>
        <w:rPr>
          <w:rFonts w:cs="Arial"/>
        </w:rPr>
      </w:pPr>
      <w:r>
        <w:rPr>
          <w:rFonts w:cs="Arial"/>
        </w:rPr>
        <w:t xml:space="preserve">Please refer to </w:t>
      </w:r>
      <w:hyperlink r:id="rId19" w:history="1">
        <w:r w:rsidRPr="0030077E">
          <w:rPr>
            <w:rStyle w:val="Hyperlink"/>
            <w:rFonts w:cs="Arial"/>
          </w:rPr>
          <w:t>Builder Bulletin 20 – How Chargeability is Determined and Applied</w:t>
        </w:r>
      </w:hyperlink>
      <w:r>
        <w:rPr>
          <w:rFonts w:cs="Arial"/>
        </w:rPr>
        <w:t xml:space="preserve"> for the chargeability consequences in this scenario.  </w:t>
      </w:r>
    </w:p>
    <w:p w14:paraId="3B72F1F9" w14:textId="77777777" w:rsidR="000620AC" w:rsidRDefault="000620AC" w:rsidP="000620AC">
      <w:pPr>
        <w:tabs>
          <w:tab w:val="left" w:pos="426"/>
        </w:tabs>
        <w:jc w:val="both"/>
        <w:rPr>
          <w:rFonts w:cs="Arial"/>
          <w:b/>
        </w:rPr>
      </w:pPr>
    </w:p>
    <w:p w14:paraId="2C455420" w14:textId="77777777" w:rsidR="00A506EA" w:rsidRPr="00F15D68" w:rsidRDefault="00A506EA" w:rsidP="00A506EA">
      <w:pPr>
        <w:pBdr>
          <w:bottom w:val="single" w:sz="12" w:space="1" w:color="auto"/>
        </w:pBdr>
        <w:rPr>
          <w:rFonts w:cs="Arial"/>
          <w:lang w:bidi="en-US"/>
        </w:rPr>
      </w:pPr>
    </w:p>
    <w:p w14:paraId="479FA5EF" w14:textId="2E555356" w:rsidR="000620AC" w:rsidRDefault="00A506EA" w:rsidP="00A506EA">
      <w:pPr>
        <w:pStyle w:val="Tarion-ReportHeading1"/>
        <w:rPr>
          <w:b w:val="0"/>
          <w:sz w:val="20"/>
          <w:szCs w:val="20"/>
        </w:rPr>
      </w:pPr>
      <w:r>
        <w:rPr>
          <w:bCs w:val="0"/>
        </w:rPr>
        <w:t>Extraordinary Circumstances</w:t>
      </w:r>
    </w:p>
    <w:p w14:paraId="52ADAACC" w14:textId="4E7C0009" w:rsidR="000620AC" w:rsidRPr="00122CEF" w:rsidRDefault="000620AC" w:rsidP="000620AC">
      <w:pPr>
        <w:jc w:val="both"/>
        <w:rPr>
          <w:rFonts w:cs="Arial"/>
        </w:rPr>
      </w:pPr>
      <w:r w:rsidRPr="00122CEF">
        <w:rPr>
          <w:rFonts w:cs="Arial"/>
        </w:rPr>
        <w:t xml:space="preserve">If a builder is faced with extraordinary circumstances that prevent resolution of a claim during the builder repair periods, </w:t>
      </w:r>
      <w:r>
        <w:rPr>
          <w:rFonts w:cs="Arial"/>
        </w:rPr>
        <w:t xml:space="preserve">the </w:t>
      </w:r>
      <w:r w:rsidRPr="00122CEF">
        <w:rPr>
          <w:rFonts w:cs="Arial"/>
        </w:rPr>
        <w:t>builder</w:t>
      </w:r>
      <w:r>
        <w:rPr>
          <w:rFonts w:cs="Arial"/>
        </w:rPr>
        <w:t xml:space="preserve"> should</w:t>
      </w:r>
      <w:r w:rsidRPr="00122CEF">
        <w:rPr>
          <w:rFonts w:cs="Arial"/>
        </w:rPr>
        <w:t xml:space="preserve"> follow the procedures in </w:t>
      </w:r>
      <w:hyperlink r:id="rId20" w:history="1">
        <w:r w:rsidRPr="0030077E">
          <w:rPr>
            <w:rStyle w:val="Hyperlink"/>
            <w:rFonts w:cs="Arial"/>
          </w:rPr>
          <w:t>Builder Bulletin 42 – Customer Service Standard</w:t>
        </w:r>
      </w:hyperlink>
      <w:r>
        <w:rPr>
          <w:rFonts w:cs="Arial"/>
        </w:rPr>
        <w:t xml:space="preserve"> </w:t>
      </w:r>
      <w:r w:rsidRPr="002F0CC7">
        <w:rPr>
          <w:rFonts w:cs="Arial"/>
        </w:rPr>
        <w:t xml:space="preserve">and </w:t>
      </w:r>
      <w:hyperlink r:id="rId21" w:history="1">
        <w:r w:rsidRPr="0030077E">
          <w:rPr>
            <w:rStyle w:val="Hyperlink"/>
            <w:rFonts w:cs="Arial"/>
          </w:rPr>
          <w:t>Builder Bulletin 49 – Claims Process, Condominium Common Elements</w:t>
        </w:r>
      </w:hyperlink>
      <w:r>
        <w:t xml:space="preserve"> </w:t>
      </w:r>
      <w:r w:rsidRPr="00122CEF">
        <w:rPr>
          <w:rFonts w:cs="Arial"/>
        </w:rPr>
        <w:t>to determine if the circumstances are appropriate for Tarion to exercise its discretion to extend repair periods.  Examples of extraordinary circumstances include industry or region-wide shortages of material and significant labour interruptions.</w:t>
      </w:r>
    </w:p>
    <w:p w14:paraId="6B7E404E" w14:textId="396AF10F" w:rsidR="000620AC" w:rsidRDefault="000620AC" w:rsidP="000620AC">
      <w:pPr>
        <w:jc w:val="both"/>
        <w:rPr>
          <w:rFonts w:cs="Arial"/>
        </w:rPr>
      </w:pPr>
    </w:p>
    <w:p w14:paraId="6575D543" w14:textId="6683D07B" w:rsidR="000620AC" w:rsidRDefault="000620AC" w:rsidP="000620AC">
      <w:pPr>
        <w:jc w:val="both"/>
        <w:rPr>
          <w:rFonts w:cs="Arial"/>
        </w:rPr>
      </w:pPr>
      <w:r w:rsidRPr="00122CEF">
        <w:rPr>
          <w:rFonts w:cs="Arial"/>
        </w:rPr>
        <w:t xml:space="preserve">The </w:t>
      </w:r>
      <w:r>
        <w:rPr>
          <w:rFonts w:cs="Arial"/>
        </w:rPr>
        <w:t xml:space="preserve">repair </w:t>
      </w:r>
      <w:r w:rsidRPr="00122CEF">
        <w:rPr>
          <w:rFonts w:cs="Arial"/>
        </w:rPr>
        <w:t xml:space="preserve">conciliation would then occur at the end of any extended repair period.  Please see </w:t>
      </w:r>
      <w:hyperlink r:id="rId22" w:history="1">
        <w:r w:rsidRPr="0030077E">
          <w:rPr>
            <w:rStyle w:val="Hyperlink"/>
            <w:rFonts w:cs="Arial"/>
          </w:rPr>
          <w:t>Builder Bulletin 42 – Customer Service Standard</w:t>
        </w:r>
      </w:hyperlink>
      <w:r>
        <w:rPr>
          <w:rFonts w:cs="Arial"/>
        </w:rPr>
        <w:t xml:space="preserve"> </w:t>
      </w:r>
      <w:r w:rsidRPr="002F0CC7">
        <w:rPr>
          <w:rFonts w:cs="Arial"/>
        </w:rPr>
        <w:t xml:space="preserve">and </w:t>
      </w:r>
      <w:hyperlink r:id="rId23" w:history="1">
        <w:r w:rsidRPr="0030077E">
          <w:rPr>
            <w:rStyle w:val="Hyperlink"/>
            <w:rFonts w:cs="Arial"/>
          </w:rPr>
          <w:t>Builder Bulletin 49 – Claims Process, Condominium Common Elements</w:t>
        </w:r>
      </w:hyperlink>
      <w:r>
        <w:t xml:space="preserve"> </w:t>
      </w:r>
      <w:r w:rsidRPr="00122CEF">
        <w:rPr>
          <w:rFonts w:cs="Arial"/>
        </w:rPr>
        <w:t>for more information about extraordinary circumstances.</w:t>
      </w:r>
    </w:p>
    <w:p w14:paraId="61E8F766" w14:textId="77777777" w:rsidR="000620AC" w:rsidRDefault="000620AC" w:rsidP="00E358A1">
      <w:pPr>
        <w:rPr>
          <w:rFonts w:cs="Arial"/>
          <w:lang w:bidi="en-US"/>
        </w:rPr>
      </w:pPr>
    </w:p>
    <w:p w14:paraId="40F639FE" w14:textId="77777777" w:rsidR="00657340" w:rsidRPr="00F15D68" w:rsidRDefault="00657340" w:rsidP="00657340">
      <w:pPr>
        <w:pBdr>
          <w:bottom w:val="single" w:sz="12" w:space="1" w:color="auto"/>
        </w:pBdr>
        <w:rPr>
          <w:rFonts w:cs="Arial"/>
          <w:lang w:bidi="en-US"/>
        </w:rPr>
      </w:pPr>
    </w:p>
    <w:p w14:paraId="6DE22E05" w14:textId="26333A12" w:rsidR="000620AC" w:rsidRPr="001F24C6" w:rsidRDefault="00657340" w:rsidP="00657340">
      <w:pPr>
        <w:pStyle w:val="Tarion-ReportHeading1"/>
        <w:rPr>
          <w:b w:val="0"/>
          <w:sz w:val="20"/>
          <w:szCs w:val="20"/>
        </w:rPr>
      </w:pPr>
      <w:r>
        <w:rPr>
          <w:bCs w:val="0"/>
        </w:rPr>
        <w:t>Repair Agreements</w:t>
      </w:r>
    </w:p>
    <w:p w14:paraId="190C63BD" w14:textId="3205FA89" w:rsidR="000620AC" w:rsidRPr="001F24C6" w:rsidRDefault="000620AC" w:rsidP="000620AC">
      <w:pPr>
        <w:tabs>
          <w:tab w:val="left" w:pos="360"/>
        </w:tabs>
        <w:ind w:right="301"/>
        <w:jc w:val="both"/>
        <w:rPr>
          <w:rFonts w:cs="Arial"/>
        </w:rPr>
      </w:pPr>
      <w:r w:rsidRPr="001F24C6">
        <w:rPr>
          <w:rFonts w:cs="Arial"/>
        </w:rPr>
        <w:t>From time to time builders and homeowners enter into agreements on their own relating to the repair or other resolution of items that may fall within the statutory warranties.</w:t>
      </w:r>
    </w:p>
    <w:p w14:paraId="0B5B0F1F" w14:textId="683337D0" w:rsidR="000620AC" w:rsidRPr="001F24C6" w:rsidRDefault="000620AC" w:rsidP="000620AC">
      <w:pPr>
        <w:tabs>
          <w:tab w:val="left" w:pos="360"/>
        </w:tabs>
        <w:ind w:right="301"/>
        <w:jc w:val="both"/>
        <w:rPr>
          <w:rFonts w:cs="Arial"/>
        </w:rPr>
      </w:pPr>
    </w:p>
    <w:p w14:paraId="3F5FDA59" w14:textId="3D9EB899" w:rsidR="000620AC" w:rsidRDefault="000620AC" w:rsidP="000620AC">
      <w:pPr>
        <w:ind w:right="301"/>
        <w:jc w:val="both"/>
        <w:rPr>
          <w:rFonts w:cs="Arial"/>
        </w:rPr>
      </w:pPr>
      <w:r w:rsidRPr="001F24C6">
        <w:rPr>
          <w:rFonts w:cs="Arial"/>
        </w:rPr>
        <w:t>Builders and homeowners may continue to do so provided they use Tarion’s form of repair agreement.  For freehold homes and condominium units, they must use the form attached as Appendix B.  For common elements, they must use the form attached as Appendix C.  This will allow builders and homeowners to ‘suspend’ timelines with respect to items properly reported to Tarion on a statutory warranty form.  If the items are not repaired by the deadline referenced in the repair agreement, the homeowner must request conciliation within the timeframe set out in the repair agreement.  Tarion will then reinstate the statutory timelines and the conciliation and claims process will proceed with respect to the non-repaired items.  If the homeowner does not request a conciliation within</w:t>
      </w:r>
      <w:r>
        <w:rPr>
          <w:rFonts w:cs="Arial"/>
        </w:rPr>
        <w:t xml:space="preserve"> the appropriate timeframe, the items referenced in the repair agreement are deemed to be resolved/withdrawn.</w:t>
      </w:r>
    </w:p>
    <w:p w14:paraId="5B486A1D" w14:textId="757C440D" w:rsidR="000620AC" w:rsidRDefault="000620AC" w:rsidP="000620AC">
      <w:pPr>
        <w:ind w:right="301"/>
        <w:jc w:val="both"/>
        <w:rPr>
          <w:rFonts w:cs="Arial"/>
        </w:rPr>
      </w:pPr>
    </w:p>
    <w:p w14:paraId="041BB5F4" w14:textId="4838D618" w:rsidR="000620AC" w:rsidRPr="005F0BFA" w:rsidRDefault="000620AC" w:rsidP="000620AC">
      <w:pPr>
        <w:ind w:right="301"/>
        <w:jc w:val="both"/>
        <w:rPr>
          <w:rFonts w:cs="Arial"/>
        </w:rPr>
      </w:pPr>
      <w:r w:rsidRPr="00FE232D">
        <w:rPr>
          <w:rFonts w:cs="Arial"/>
        </w:rPr>
        <w:t>The repair agreement would have to be signed by the homeowner and builder and submitted by the builder to Tarion before expiry of the timeframe for requesting a conciliation.  Tarion will sign the Acknowledgment at the bottom of the agreement and return a copy to each of the parties.</w:t>
      </w:r>
    </w:p>
    <w:p w14:paraId="2BCC6BD0" w14:textId="7D5D568B" w:rsidR="00FE232D" w:rsidRDefault="006F5C8F" w:rsidP="000620AC">
      <w:pPr>
        <w:jc w:val="both"/>
        <w:rPr>
          <w:rFonts w:cs="Arial"/>
        </w:rPr>
      </w:pPr>
      <w:r>
        <w:rPr>
          <w:rFonts w:cs="Arial"/>
          <w:noProof/>
          <w:lang w:val="en-CA" w:eastAsia="en-CA"/>
        </w:rPr>
        <mc:AlternateContent>
          <mc:Choice Requires="wps">
            <w:drawing>
              <wp:anchor distT="0" distB="0" distL="114300" distR="114300" simplePos="0" relativeHeight="251670528" behindDoc="0" locked="0" layoutInCell="1" allowOverlap="1" wp14:anchorId="1F403599" wp14:editId="16A5FE62">
                <wp:simplePos x="0" y="0"/>
                <wp:positionH relativeFrom="margin">
                  <wp:align>center</wp:align>
                </wp:positionH>
                <wp:positionV relativeFrom="paragraph">
                  <wp:posOffset>130387</wp:posOffset>
                </wp:positionV>
                <wp:extent cx="5994400" cy="2032000"/>
                <wp:effectExtent l="0" t="0" r="6350" b="6350"/>
                <wp:wrapTopAndBottom/>
                <wp:docPr id="3" name="Text Box 3"/>
                <wp:cNvGraphicFramePr/>
                <a:graphic xmlns:a="http://schemas.openxmlformats.org/drawingml/2006/main">
                  <a:graphicData uri="http://schemas.microsoft.com/office/word/2010/wordprocessingShape">
                    <wps:wsp>
                      <wps:cNvSpPr txBox="1"/>
                      <wps:spPr>
                        <a:xfrm>
                          <a:off x="0" y="0"/>
                          <a:ext cx="5994400" cy="2032000"/>
                        </a:xfrm>
                        <a:prstGeom prst="rect">
                          <a:avLst/>
                        </a:prstGeom>
                        <a:solidFill>
                          <a:srgbClr val="FFE55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06536" w14:textId="74D4BAF5" w:rsidR="0084767B" w:rsidRPr="00FE232D" w:rsidRDefault="0084767B" w:rsidP="006F5C8F">
                            <w:pPr>
                              <w:jc w:val="center"/>
                              <w:rPr>
                                <w:rFonts w:eastAsiaTheme="majorEastAsia" w:cs="Arial"/>
                                <w:b/>
                                <w:iCs/>
                              </w:rPr>
                            </w:pPr>
                            <w:r>
                              <w:rPr>
                                <w:rFonts w:eastAsiaTheme="majorEastAsia" w:cs="Arial"/>
                                <w:b/>
                                <w:iCs/>
                              </w:rPr>
                              <w:br/>
                            </w:r>
                            <w:r w:rsidR="00601EC8">
                              <w:rPr>
                                <w:rFonts w:eastAsiaTheme="majorEastAsia" w:cs="Arial"/>
                                <w:b/>
                                <w:iCs/>
                              </w:rPr>
                              <w:t>Appeal Rights</w:t>
                            </w:r>
                          </w:p>
                          <w:p w14:paraId="65578874" w14:textId="77777777" w:rsidR="0084767B" w:rsidRPr="00FE232D" w:rsidRDefault="0084767B" w:rsidP="006F5C8F">
                            <w:pPr>
                              <w:jc w:val="center"/>
                              <w:rPr>
                                <w:rFonts w:eastAsiaTheme="majorEastAsia" w:cs="Arial"/>
                                <w:b/>
                                <w:iCs/>
                              </w:rPr>
                            </w:pPr>
                          </w:p>
                          <w:p w14:paraId="6A1AC10D" w14:textId="079231E6" w:rsidR="0084767B" w:rsidRPr="00FE232D" w:rsidRDefault="0084767B" w:rsidP="006F5C8F">
                            <w:pPr>
                              <w:rPr>
                                <w:rFonts w:eastAsiaTheme="majorEastAsia" w:cs="Arial"/>
                                <w:iCs/>
                              </w:rPr>
                            </w:pPr>
                            <w:r w:rsidRPr="00FE232D">
                              <w:rPr>
                                <w:rFonts w:eastAsiaTheme="majorEastAsia" w:cs="Arial"/>
                                <w:iCs/>
                              </w:rPr>
                              <w:t xml:space="preserve">A homeowner who disagrees with Tarion’s determination of warrantability may appeal Tarion’s decision to the Licence Appeal Tribunal. The appeal must be made within 15 days of receipt of the Decision Letter. Please refer to the </w:t>
                            </w:r>
                            <w:hyperlink r:id="rId24" w:history="1">
                              <w:r w:rsidRPr="00BC565E">
                                <w:rPr>
                                  <w:rStyle w:val="Hyperlink"/>
                                  <w:rFonts w:eastAsiaTheme="majorEastAsia" w:cs="Arial"/>
                                  <w:iCs/>
                                </w:rPr>
                                <w:t>Licence Appeal Tribunal</w:t>
                              </w:r>
                              <w:r w:rsidRPr="00BC565E">
                                <w:rPr>
                                  <w:rStyle w:val="Hyperlink"/>
                                  <w:rFonts w:eastAsiaTheme="majorEastAsia" w:cs="Arial"/>
                                  <w:iCs/>
                                  <w:color w:val="auto"/>
                                  <w:u w:val="none"/>
                                </w:rPr>
                                <w:t xml:space="preserve"> website</w:t>
                              </w:r>
                            </w:hyperlink>
                            <w:r w:rsidRPr="00FE232D">
                              <w:rPr>
                                <w:rFonts w:eastAsiaTheme="majorEastAsia" w:cs="Arial"/>
                                <w:iCs/>
                              </w:rPr>
                              <w:t xml:space="preserve"> for further information on the appeal process.</w:t>
                            </w:r>
                          </w:p>
                          <w:p w14:paraId="1F6CF3AE" w14:textId="77777777" w:rsidR="0084767B" w:rsidRPr="00FE232D" w:rsidRDefault="0084767B" w:rsidP="006F5C8F">
                            <w:pPr>
                              <w:rPr>
                                <w:rFonts w:eastAsiaTheme="majorEastAsia" w:cs="Arial"/>
                                <w:iCs/>
                              </w:rPr>
                            </w:pPr>
                          </w:p>
                          <w:p w14:paraId="31CD1987" w14:textId="77777777" w:rsidR="0084767B" w:rsidRPr="006F5C8F" w:rsidRDefault="0084767B" w:rsidP="006F5C8F">
                            <w:pPr>
                              <w:rPr>
                                <w:rFonts w:eastAsiaTheme="majorEastAsia" w:cs="Arial"/>
                                <w:iCs/>
                                <w:color w:val="0070C0"/>
                              </w:rPr>
                            </w:pPr>
                            <w:r w:rsidRPr="00FE232D">
                              <w:rPr>
                                <w:rFonts w:eastAsiaTheme="majorEastAsia" w:cs="Arial"/>
                                <w:iCs/>
                              </w:rPr>
                              <w:t xml:space="preserve">A builder who disagrees with Tarion’s determination of warrantability or chargeability in a Warranty Assessment Report may be eligible to request an arbitration under the Builder Arbitration Forum. For full eligibility requirements and other information, please refer to </w:t>
                            </w:r>
                            <w:hyperlink r:id="rId25" w:history="1">
                              <w:r w:rsidRPr="00BC565E">
                                <w:rPr>
                                  <w:rStyle w:val="Hyperlink"/>
                                  <w:rFonts w:eastAsiaTheme="majorEastAsia" w:cs="Arial"/>
                                  <w:iCs/>
                                </w:rPr>
                                <w:t>Builder Bulletin 41 – Builder Arbitration Guidelines</w:t>
                              </w:r>
                            </w:hyperlink>
                            <w:r w:rsidRPr="006F5C8F">
                              <w:rPr>
                                <w:rFonts w:eastAsiaTheme="majorEastAsia" w:cs="Arial"/>
                                <w:iCs/>
                                <w:color w:val="0070C0"/>
                              </w:rPr>
                              <w:t>.</w:t>
                            </w:r>
                          </w:p>
                          <w:p w14:paraId="014E9C7A" w14:textId="77777777" w:rsidR="0084767B" w:rsidRDefault="00847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03599" id="_x0000_t202" coordsize="21600,21600" o:spt="202" path="m,l,21600r21600,l21600,xe">
                <v:stroke joinstyle="miter"/>
                <v:path gradientshapeok="t" o:connecttype="rect"/>
              </v:shapetype>
              <v:shape id="Text Box 3" o:spid="_x0000_s1026" type="#_x0000_t202" style="position:absolute;left:0;text-align:left;margin-left:0;margin-top:10.25pt;width:472pt;height:160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" fillcolor="#ffe55a" stroked="f" strokeweight=".5pt">
                <v:textbox>
                  <w:txbxContent>
                    <w:p w14:paraId="35A06536" w14:textId="74D4BAF5" w:rsidR="0084767B" w:rsidRPr="00FE232D" w:rsidRDefault="0084767B" w:rsidP="006F5C8F">
                      <w:pPr>
                        <w:jc w:val="center"/>
                        <w:rPr>
                          <w:rFonts w:eastAsiaTheme="majorEastAsia" w:cs="Arial"/>
                          <w:b/>
                          <w:iCs/>
                        </w:rPr>
                      </w:pPr>
                      <w:r>
                        <w:rPr>
                          <w:rFonts w:eastAsiaTheme="majorEastAsia" w:cs="Arial"/>
                          <w:b/>
                          <w:iCs/>
                        </w:rPr>
                        <w:br/>
                      </w:r>
                      <w:r w:rsidR="00601EC8">
                        <w:rPr>
                          <w:rFonts w:eastAsiaTheme="majorEastAsia" w:cs="Arial"/>
                          <w:b/>
                          <w:iCs/>
                        </w:rPr>
                        <w:t>Appeal Rights</w:t>
                      </w:r>
                    </w:p>
                    <w:p w14:paraId="65578874" w14:textId="77777777" w:rsidR="0084767B" w:rsidRPr="00FE232D" w:rsidRDefault="0084767B" w:rsidP="006F5C8F">
                      <w:pPr>
                        <w:jc w:val="center"/>
                        <w:rPr>
                          <w:rFonts w:eastAsiaTheme="majorEastAsia" w:cs="Arial"/>
                          <w:b/>
                          <w:iCs/>
                        </w:rPr>
                      </w:pPr>
                    </w:p>
                    <w:p w14:paraId="6A1AC10D" w14:textId="079231E6" w:rsidR="0084767B" w:rsidRPr="00FE232D" w:rsidRDefault="0084767B" w:rsidP="006F5C8F">
                      <w:pPr>
                        <w:rPr>
                          <w:rFonts w:eastAsiaTheme="majorEastAsia" w:cs="Arial"/>
                          <w:iCs/>
                        </w:rPr>
                      </w:pPr>
                      <w:r w:rsidRPr="00FE232D">
                        <w:rPr>
                          <w:rFonts w:eastAsiaTheme="majorEastAsia" w:cs="Arial"/>
                          <w:iCs/>
                        </w:rPr>
                        <w:t xml:space="preserve">A homeowner who disagrees with </w:t>
                      </w:r>
                      <w:proofErr w:type="spellStart"/>
                      <w:r w:rsidRPr="00FE232D">
                        <w:rPr>
                          <w:rFonts w:eastAsiaTheme="majorEastAsia" w:cs="Arial"/>
                          <w:iCs/>
                        </w:rPr>
                        <w:t>Tarion’s</w:t>
                      </w:r>
                      <w:proofErr w:type="spellEnd"/>
                      <w:r w:rsidRPr="00FE232D">
                        <w:rPr>
                          <w:rFonts w:eastAsiaTheme="majorEastAsia" w:cs="Arial"/>
                          <w:iCs/>
                        </w:rPr>
                        <w:t xml:space="preserve"> determination of </w:t>
                      </w:r>
                      <w:proofErr w:type="spellStart"/>
                      <w:r w:rsidRPr="00FE232D">
                        <w:rPr>
                          <w:rFonts w:eastAsiaTheme="majorEastAsia" w:cs="Arial"/>
                          <w:iCs/>
                        </w:rPr>
                        <w:t>warrantability</w:t>
                      </w:r>
                      <w:proofErr w:type="spellEnd"/>
                      <w:r w:rsidRPr="00FE232D">
                        <w:rPr>
                          <w:rFonts w:eastAsiaTheme="majorEastAsia" w:cs="Arial"/>
                          <w:iCs/>
                        </w:rPr>
                        <w:t xml:space="preserve"> may appeal </w:t>
                      </w:r>
                      <w:proofErr w:type="spellStart"/>
                      <w:r w:rsidRPr="00FE232D">
                        <w:rPr>
                          <w:rFonts w:eastAsiaTheme="majorEastAsia" w:cs="Arial"/>
                          <w:iCs/>
                        </w:rPr>
                        <w:t>Tarion’s</w:t>
                      </w:r>
                      <w:proofErr w:type="spellEnd"/>
                      <w:r w:rsidRPr="00FE232D">
                        <w:rPr>
                          <w:rFonts w:eastAsiaTheme="majorEastAsia" w:cs="Arial"/>
                          <w:iCs/>
                        </w:rPr>
                        <w:t xml:space="preserve"> decision to the </w:t>
                      </w:r>
                      <w:proofErr w:type="spellStart"/>
                      <w:r w:rsidRPr="00FE232D">
                        <w:rPr>
                          <w:rFonts w:eastAsiaTheme="majorEastAsia" w:cs="Arial"/>
                          <w:iCs/>
                        </w:rPr>
                        <w:t>Licence</w:t>
                      </w:r>
                      <w:proofErr w:type="spellEnd"/>
                      <w:r w:rsidRPr="00FE232D">
                        <w:rPr>
                          <w:rFonts w:eastAsiaTheme="majorEastAsia" w:cs="Arial"/>
                          <w:iCs/>
                        </w:rPr>
                        <w:t xml:space="preserve"> Appeal Tribunal. The appeal must be made within 15 days of receipt of the Decision Letter. Please refer to the </w:t>
                      </w:r>
                      <w:hyperlink r:id="rId26" w:history="1">
                        <w:proofErr w:type="spellStart"/>
                        <w:r w:rsidRPr="00BC565E">
                          <w:rPr>
                            <w:rStyle w:val="Hyperlink"/>
                            <w:rFonts w:eastAsiaTheme="majorEastAsia" w:cs="Arial"/>
                            <w:iCs/>
                          </w:rPr>
                          <w:t>Licence</w:t>
                        </w:r>
                        <w:proofErr w:type="spellEnd"/>
                        <w:r w:rsidRPr="00BC565E">
                          <w:rPr>
                            <w:rStyle w:val="Hyperlink"/>
                            <w:rFonts w:eastAsiaTheme="majorEastAsia" w:cs="Arial"/>
                            <w:iCs/>
                          </w:rPr>
                          <w:t xml:space="preserve"> Appeal Tribunal</w:t>
                        </w:r>
                        <w:r w:rsidRPr="00BC565E">
                          <w:rPr>
                            <w:rStyle w:val="Hyperlink"/>
                            <w:rFonts w:eastAsiaTheme="majorEastAsia" w:cs="Arial"/>
                            <w:iCs/>
                            <w:color w:val="auto"/>
                            <w:u w:val="none"/>
                          </w:rPr>
                          <w:t xml:space="preserve"> website</w:t>
                        </w:r>
                      </w:hyperlink>
                      <w:r w:rsidRPr="00FE232D">
                        <w:rPr>
                          <w:rFonts w:eastAsiaTheme="majorEastAsia" w:cs="Arial"/>
                          <w:iCs/>
                        </w:rPr>
                        <w:t xml:space="preserve"> for further information on the appeal process.</w:t>
                      </w:r>
                    </w:p>
                    <w:p w14:paraId="1F6CF3AE" w14:textId="77777777" w:rsidR="0084767B" w:rsidRPr="00FE232D" w:rsidRDefault="0084767B" w:rsidP="006F5C8F">
                      <w:pPr>
                        <w:rPr>
                          <w:rFonts w:eastAsiaTheme="majorEastAsia" w:cs="Arial"/>
                          <w:iCs/>
                        </w:rPr>
                      </w:pPr>
                    </w:p>
                    <w:p w14:paraId="31CD1987" w14:textId="77777777" w:rsidR="0084767B" w:rsidRPr="006F5C8F" w:rsidRDefault="0084767B" w:rsidP="006F5C8F">
                      <w:pPr>
                        <w:rPr>
                          <w:rFonts w:eastAsiaTheme="majorEastAsia" w:cs="Arial"/>
                          <w:iCs/>
                          <w:color w:val="0070C0"/>
                        </w:rPr>
                      </w:pPr>
                      <w:r w:rsidRPr="00FE232D">
                        <w:rPr>
                          <w:rFonts w:eastAsiaTheme="majorEastAsia" w:cs="Arial"/>
                          <w:iCs/>
                        </w:rPr>
                        <w:t xml:space="preserve">A builder who disagrees with </w:t>
                      </w:r>
                      <w:proofErr w:type="spellStart"/>
                      <w:r w:rsidRPr="00FE232D">
                        <w:rPr>
                          <w:rFonts w:eastAsiaTheme="majorEastAsia" w:cs="Arial"/>
                          <w:iCs/>
                        </w:rPr>
                        <w:t>Tarion’s</w:t>
                      </w:r>
                      <w:proofErr w:type="spellEnd"/>
                      <w:r w:rsidRPr="00FE232D">
                        <w:rPr>
                          <w:rFonts w:eastAsiaTheme="majorEastAsia" w:cs="Arial"/>
                          <w:iCs/>
                        </w:rPr>
                        <w:t xml:space="preserve"> determination of </w:t>
                      </w:r>
                      <w:proofErr w:type="spellStart"/>
                      <w:r w:rsidRPr="00FE232D">
                        <w:rPr>
                          <w:rFonts w:eastAsiaTheme="majorEastAsia" w:cs="Arial"/>
                          <w:iCs/>
                        </w:rPr>
                        <w:t>warrantability</w:t>
                      </w:r>
                      <w:proofErr w:type="spellEnd"/>
                      <w:r w:rsidRPr="00FE232D">
                        <w:rPr>
                          <w:rFonts w:eastAsiaTheme="majorEastAsia" w:cs="Arial"/>
                          <w:iCs/>
                        </w:rPr>
                        <w:t xml:space="preserve"> or chargeability in a Warranty Assessment Report may be eligible to request an arbitration under the Builder Arbitration Forum. For full eligibility requirements and other information, please refer to </w:t>
                      </w:r>
                      <w:hyperlink r:id="rId27" w:history="1">
                        <w:r w:rsidRPr="00BC565E">
                          <w:rPr>
                            <w:rStyle w:val="Hyperlink"/>
                            <w:rFonts w:eastAsiaTheme="majorEastAsia" w:cs="Arial"/>
                            <w:iCs/>
                          </w:rPr>
                          <w:t>Builder Bulletin 41 – Builder Arbitration Guidelines</w:t>
                        </w:r>
                      </w:hyperlink>
                      <w:r w:rsidRPr="006F5C8F">
                        <w:rPr>
                          <w:rFonts w:eastAsiaTheme="majorEastAsia" w:cs="Arial"/>
                          <w:iCs/>
                          <w:color w:val="0070C0"/>
                        </w:rPr>
                        <w:t>.</w:t>
                      </w:r>
                    </w:p>
                    <w:p w14:paraId="014E9C7A" w14:textId="77777777" w:rsidR="0084767B" w:rsidRDefault="0084767B"/>
                  </w:txbxContent>
                </v:textbox>
                <w10:wrap type="topAndBottom" anchorx="margin"/>
              </v:shape>
            </w:pict>
          </mc:Fallback>
        </mc:AlternateContent>
      </w:r>
    </w:p>
    <w:p w14:paraId="472D2928" w14:textId="77777777" w:rsidR="00A6643D" w:rsidRDefault="00A6643D" w:rsidP="000620AC">
      <w:pPr>
        <w:jc w:val="both"/>
        <w:rPr>
          <w:rFonts w:cs="Arial"/>
        </w:rPr>
      </w:pPr>
    </w:p>
    <w:p w14:paraId="2A90CB75" w14:textId="77777777" w:rsidR="00A6643D" w:rsidRDefault="00A6643D" w:rsidP="000620AC">
      <w:pPr>
        <w:jc w:val="both"/>
        <w:rPr>
          <w:rFonts w:cs="Arial"/>
        </w:rPr>
      </w:pPr>
    </w:p>
    <w:p w14:paraId="0FDA1EE0" w14:textId="77777777" w:rsidR="00A6643D" w:rsidRDefault="00A6643D" w:rsidP="000620AC">
      <w:pPr>
        <w:jc w:val="both"/>
        <w:rPr>
          <w:rFonts w:cs="Arial"/>
        </w:rPr>
      </w:pPr>
    </w:p>
    <w:p w14:paraId="3DDF22E9" w14:textId="77777777" w:rsidR="00A6643D" w:rsidRDefault="00A6643D" w:rsidP="000620AC">
      <w:pPr>
        <w:jc w:val="both"/>
        <w:rPr>
          <w:rFonts w:cs="Arial"/>
        </w:rPr>
      </w:pPr>
    </w:p>
    <w:p w14:paraId="344B0C94" w14:textId="77777777" w:rsidR="00A6643D" w:rsidRDefault="00A6643D" w:rsidP="000620AC">
      <w:pPr>
        <w:jc w:val="both"/>
        <w:rPr>
          <w:rFonts w:cs="Arial"/>
        </w:rPr>
      </w:pPr>
    </w:p>
    <w:p w14:paraId="3E2E4BA1" w14:textId="77777777" w:rsidR="00A6643D" w:rsidRDefault="00A6643D" w:rsidP="000620AC">
      <w:pPr>
        <w:jc w:val="both"/>
        <w:rPr>
          <w:rFonts w:cs="Arial"/>
        </w:rPr>
      </w:pPr>
    </w:p>
    <w:p w14:paraId="11182C5E" w14:textId="77777777" w:rsidR="00A6643D" w:rsidRDefault="00A6643D" w:rsidP="000620AC">
      <w:pPr>
        <w:jc w:val="both"/>
        <w:rPr>
          <w:rFonts w:cs="Arial"/>
        </w:rPr>
      </w:pPr>
    </w:p>
    <w:p w14:paraId="676AD38F" w14:textId="77777777" w:rsidR="00A6643D" w:rsidRDefault="00A6643D" w:rsidP="000620AC">
      <w:pPr>
        <w:jc w:val="both"/>
        <w:rPr>
          <w:rFonts w:cs="Arial"/>
        </w:rPr>
      </w:pPr>
    </w:p>
    <w:p w14:paraId="084304BF" w14:textId="77777777" w:rsidR="00A6643D" w:rsidRDefault="00A6643D" w:rsidP="000620AC">
      <w:pPr>
        <w:jc w:val="both"/>
        <w:rPr>
          <w:rFonts w:cs="Arial"/>
        </w:rPr>
      </w:pPr>
    </w:p>
    <w:p w14:paraId="0E19C72A" w14:textId="77777777" w:rsidR="00A6643D" w:rsidRDefault="00A6643D" w:rsidP="000620AC">
      <w:pPr>
        <w:jc w:val="both"/>
        <w:rPr>
          <w:rFonts w:cs="Arial"/>
        </w:rPr>
      </w:pPr>
    </w:p>
    <w:p w14:paraId="0DFA5D71" w14:textId="77777777" w:rsidR="00A6643D" w:rsidRDefault="00A6643D" w:rsidP="000620AC">
      <w:pPr>
        <w:jc w:val="both"/>
        <w:rPr>
          <w:rFonts w:cs="Arial"/>
        </w:rPr>
      </w:pPr>
    </w:p>
    <w:p w14:paraId="58DF80F4" w14:textId="77777777" w:rsidR="00A6643D" w:rsidRDefault="00A6643D" w:rsidP="000620AC">
      <w:pPr>
        <w:jc w:val="both"/>
        <w:rPr>
          <w:rFonts w:cs="Arial"/>
        </w:rPr>
      </w:pPr>
    </w:p>
    <w:p w14:paraId="116306BB" w14:textId="77777777" w:rsidR="00A6643D" w:rsidRDefault="00A6643D" w:rsidP="000620AC">
      <w:pPr>
        <w:jc w:val="both"/>
        <w:rPr>
          <w:rFonts w:cs="Arial"/>
        </w:rPr>
      </w:pPr>
    </w:p>
    <w:p w14:paraId="1F05F19A" w14:textId="77777777" w:rsidR="00A6643D" w:rsidRDefault="00A6643D" w:rsidP="000620AC">
      <w:pPr>
        <w:jc w:val="both"/>
        <w:rPr>
          <w:rFonts w:cs="Arial"/>
        </w:rPr>
      </w:pPr>
    </w:p>
    <w:p w14:paraId="4212673A" w14:textId="77777777" w:rsidR="00A6643D" w:rsidRDefault="00A6643D" w:rsidP="000620AC">
      <w:pPr>
        <w:jc w:val="both"/>
        <w:rPr>
          <w:rFonts w:cs="Arial"/>
        </w:rPr>
      </w:pPr>
    </w:p>
    <w:p w14:paraId="570F0472" w14:textId="77777777" w:rsidR="00A6643D" w:rsidRDefault="00A6643D" w:rsidP="000620AC">
      <w:pPr>
        <w:jc w:val="both"/>
        <w:rPr>
          <w:rFonts w:cs="Arial"/>
        </w:rPr>
      </w:pPr>
    </w:p>
    <w:p w14:paraId="762A6439" w14:textId="77777777" w:rsidR="00A6643D" w:rsidRDefault="00A6643D" w:rsidP="000620AC">
      <w:pPr>
        <w:jc w:val="both"/>
        <w:rPr>
          <w:rFonts w:cs="Arial"/>
        </w:rPr>
      </w:pPr>
    </w:p>
    <w:p w14:paraId="5353E49A" w14:textId="77777777" w:rsidR="00A6643D" w:rsidRDefault="00A6643D" w:rsidP="000620AC">
      <w:pPr>
        <w:jc w:val="both"/>
        <w:rPr>
          <w:rFonts w:cs="Arial"/>
        </w:rPr>
      </w:pPr>
    </w:p>
    <w:p w14:paraId="5475D890" w14:textId="77777777" w:rsidR="00A6643D" w:rsidRDefault="00A6643D" w:rsidP="000620AC">
      <w:pPr>
        <w:jc w:val="both"/>
        <w:rPr>
          <w:rFonts w:cs="Arial"/>
        </w:rPr>
      </w:pPr>
    </w:p>
    <w:p w14:paraId="4801E660" w14:textId="77777777" w:rsidR="00A6643D" w:rsidRDefault="00A6643D" w:rsidP="000620AC">
      <w:pPr>
        <w:jc w:val="both"/>
        <w:rPr>
          <w:rFonts w:cs="Arial"/>
        </w:rPr>
      </w:pPr>
    </w:p>
    <w:p w14:paraId="0BEFD775" w14:textId="77777777" w:rsidR="00A6643D" w:rsidRDefault="00A6643D" w:rsidP="000620AC">
      <w:pPr>
        <w:jc w:val="both"/>
        <w:rPr>
          <w:rFonts w:cs="Arial"/>
        </w:rPr>
      </w:pPr>
    </w:p>
    <w:p w14:paraId="67B6DBD2" w14:textId="77777777" w:rsidR="000620AC" w:rsidRDefault="000620AC" w:rsidP="000620AC">
      <w:pPr>
        <w:jc w:val="both"/>
        <w:rPr>
          <w:rFonts w:cs="Arial"/>
        </w:rPr>
      </w:pPr>
      <w:r>
        <w:rPr>
          <w:rFonts w:cs="Arial"/>
        </w:rPr>
        <w:t>Signed</w:t>
      </w:r>
    </w:p>
    <w:p w14:paraId="6D1C05E9" w14:textId="77777777" w:rsidR="000620AC" w:rsidRDefault="000620AC" w:rsidP="000620AC">
      <w:pPr>
        <w:jc w:val="both"/>
        <w:rPr>
          <w:rFonts w:cs="Arial"/>
        </w:rPr>
      </w:pPr>
    </w:p>
    <w:p w14:paraId="671BAA03" w14:textId="77777777" w:rsidR="000620AC" w:rsidRDefault="000620AC" w:rsidP="000620AC">
      <w:pPr>
        <w:jc w:val="both"/>
        <w:rPr>
          <w:rFonts w:cs="Arial"/>
        </w:rPr>
      </w:pPr>
    </w:p>
    <w:p w14:paraId="2B56245C" w14:textId="77777777" w:rsidR="000620AC" w:rsidRDefault="000620AC" w:rsidP="000620AC">
      <w:pPr>
        <w:jc w:val="both"/>
        <w:rPr>
          <w:rFonts w:cs="Arial"/>
        </w:rPr>
      </w:pPr>
    </w:p>
    <w:p w14:paraId="22BDAD26" w14:textId="77777777" w:rsidR="000620AC" w:rsidRDefault="000620AC" w:rsidP="000620AC">
      <w:pPr>
        <w:jc w:val="both"/>
        <w:rPr>
          <w:rFonts w:cs="Arial"/>
        </w:rPr>
      </w:pPr>
    </w:p>
    <w:p w14:paraId="61A84878" w14:textId="77777777" w:rsidR="000620AC" w:rsidRDefault="000620AC" w:rsidP="000620AC">
      <w:pPr>
        <w:jc w:val="both"/>
        <w:rPr>
          <w:rFonts w:cs="Arial"/>
        </w:rPr>
      </w:pPr>
    </w:p>
    <w:p w14:paraId="0FF1103E" w14:textId="77777777" w:rsidR="000620AC" w:rsidRDefault="000620AC" w:rsidP="000620AC">
      <w:pPr>
        <w:jc w:val="both"/>
        <w:rPr>
          <w:rFonts w:cs="Arial"/>
        </w:rPr>
      </w:pPr>
      <w:r>
        <w:rPr>
          <w:rFonts w:cs="Arial"/>
        </w:rPr>
        <w:t>Howard Bogach</w:t>
      </w:r>
    </w:p>
    <w:p w14:paraId="6969EC65" w14:textId="41BD6BA5" w:rsidR="00F82DC6" w:rsidRDefault="000620AC">
      <w:pPr>
        <w:rPr>
          <w:rFonts w:cs="Arial"/>
        </w:rPr>
      </w:pPr>
      <w:r>
        <w:rPr>
          <w:rFonts w:cs="Arial"/>
        </w:rPr>
        <w:t>Registrar</w:t>
      </w:r>
    </w:p>
    <w:p w14:paraId="329B8D87" w14:textId="77DEFDE8" w:rsidR="00F82DC6" w:rsidRPr="001F24C6" w:rsidRDefault="00F82DC6" w:rsidP="00F82DC6">
      <w:pPr>
        <w:pStyle w:val="Tarion-ReportHeading1"/>
        <w:jc w:val="center"/>
        <w:rPr>
          <w:b w:val="0"/>
          <w:sz w:val="20"/>
          <w:szCs w:val="20"/>
        </w:rPr>
      </w:pPr>
      <w:r>
        <w:rPr>
          <w:bCs w:val="0"/>
        </w:rPr>
        <w:t>Example – Repair Warranty Claims Process</w:t>
      </w:r>
    </w:p>
    <w:p w14:paraId="7C1FA16B" w14:textId="5D6EB699" w:rsidR="009F639A" w:rsidRDefault="0039481A" w:rsidP="000620AC">
      <w:pPr>
        <w:rPr>
          <w:rFonts w:cs="Arial"/>
          <w:lang w:bidi="en-US"/>
        </w:rPr>
      </w:pPr>
      <w:r w:rsidRPr="0039481A">
        <w:rPr>
          <w:rFonts w:cs="Arial"/>
          <w:lang w:bidi="en-US"/>
        </w:rPr>
        <w:t>This example illustrates the repair warranty claims process that would apply for an item originally submitted on a Year-End Form where the repair failed after the request for conciliation timeframe on the Year-End Form expired.</w:t>
      </w:r>
    </w:p>
    <w:p w14:paraId="7B5FEC29" w14:textId="77777777" w:rsidR="0039481A" w:rsidRDefault="0039481A" w:rsidP="000620AC">
      <w:pPr>
        <w:rPr>
          <w:rFonts w:cs="Arial"/>
          <w:lang w:bidi="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250"/>
        <w:gridCol w:w="2340"/>
        <w:gridCol w:w="2430"/>
      </w:tblGrid>
      <w:tr w:rsidR="0039481A" w:rsidRPr="003A0A55" w14:paraId="382288EE" w14:textId="77777777" w:rsidTr="0084767B">
        <w:tc>
          <w:tcPr>
            <w:tcW w:w="1008" w:type="dxa"/>
            <w:tcBorders>
              <w:top w:val="nil"/>
              <w:left w:val="nil"/>
              <w:bottom w:val="single" w:sz="4" w:space="0" w:color="auto"/>
              <w:right w:val="nil"/>
            </w:tcBorders>
            <w:shd w:val="clear" w:color="auto" w:fill="auto"/>
          </w:tcPr>
          <w:p w14:paraId="5492C306" w14:textId="77777777" w:rsidR="0039481A" w:rsidRPr="003A0A55" w:rsidRDefault="0039481A" w:rsidP="0084767B">
            <w:pPr>
              <w:rPr>
                <w:rFonts w:cs="Arial"/>
              </w:rPr>
            </w:pPr>
          </w:p>
        </w:tc>
        <w:tc>
          <w:tcPr>
            <w:tcW w:w="2250" w:type="dxa"/>
            <w:tcBorders>
              <w:top w:val="nil"/>
              <w:left w:val="nil"/>
              <w:bottom w:val="single" w:sz="4" w:space="0" w:color="auto"/>
              <w:right w:val="nil"/>
            </w:tcBorders>
            <w:shd w:val="clear" w:color="auto" w:fill="auto"/>
          </w:tcPr>
          <w:p w14:paraId="1D5097D8" w14:textId="77777777" w:rsidR="0039481A" w:rsidRPr="003A0A55" w:rsidRDefault="0039481A" w:rsidP="0084767B">
            <w:pPr>
              <w:jc w:val="center"/>
              <w:rPr>
                <w:rFonts w:cs="Arial"/>
                <w:b/>
              </w:rPr>
            </w:pPr>
            <w:r w:rsidRPr="003A0A55">
              <w:rPr>
                <w:rFonts w:cs="Arial"/>
                <w:b/>
              </w:rPr>
              <w:t>30 Days</w:t>
            </w:r>
          </w:p>
        </w:tc>
        <w:tc>
          <w:tcPr>
            <w:tcW w:w="2340" w:type="dxa"/>
            <w:tcBorders>
              <w:top w:val="nil"/>
              <w:left w:val="nil"/>
              <w:bottom w:val="single" w:sz="4" w:space="0" w:color="auto"/>
              <w:right w:val="nil"/>
            </w:tcBorders>
            <w:shd w:val="clear" w:color="auto" w:fill="auto"/>
          </w:tcPr>
          <w:p w14:paraId="37DE0B11" w14:textId="77777777" w:rsidR="0039481A" w:rsidRPr="003A0A55" w:rsidRDefault="0039481A" w:rsidP="0084767B">
            <w:pPr>
              <w:jc w:val="center"/>
              <w:rPr>
                <w:rFonts w:cs="Arial"/>
                <w:b/>
              </w:rPr>
            </w:pPr>
            <w:r w:rsidRPr="003A0A55">
              <w:rPr>
                <w:rFonts w:cs="Arial"/>
                <w:b/>
              </w:rPr>
              <w:t>120 Days</w:t>
            </w:r>
          </w:p>
        </w:tc>
        <w:tc>
          <w:tcPr>
            <w:tcW w:w="2430" w:type="dxa"/>
            <w:tcBorders>
              <w:top w:val="nil"/>
              <w:left w:val="nil"/>
              <w:bottom w:val="single" w:sz="4" w:space="0" w:color="auto"/>
              <w:right w:val="nil"/>
            </w:tcBorders>
            <w:shd w:val="clear" w:color="auto" w:fill="auto"/>
          </w:tcPr>
          <w:p w14:paraId="5C5B5D98" w14:textId="77777777" w:rsidR="0039481A" w:rsidRPr="003A0A55" w:rsidRDefault="0039481A" w:rsidP="0084767B">
            <w:pPr>
              <w:rPr>
                <w:rFonts w:cs="Arial"/>
                <w:b/>
              </w:rPr>
            </w:pPr>
            <w:r w:rsidRPr="003A0A55">
              <w:rPr>
                <w:rFonts w:cs="Arial"/>
                <w:b/>
              </w:rPr>
              <w:t xml:space="preserve">       30 Days</w:t>
            </w:r>
          </w:p>
        </w:tc>
      </w:tr>
      <w:tr w:rsidR="0039481A" w:rsidRPr="003A0A55" w14:paraId="2381EEE4" w14:textId="77777777" w:rsidTr="0084767B">
        <w:trPr>
          <w:cantSplit/>
          <w:trHeight w:val="1134"/>
        </w:trPr>
        <w:tc>
          <w:tcPr>
            <w:tcW w:w="1008" w:type="dxa"/>
            <w:tcBorders>
              <w:top w:val="single" w:sz="4" w:space="0" w:color="auto"/>
              <w:left w:val="single" w:sz="4" w:space="0" w:color="auto"/>
              <w:bottom w:val="single" w:sz="4" w:space="0" w:color="auto"/>
            </w:tcBorders>
            <w:shd w:val="clear" w:color="auto" w:fill="auto"/>
            <w:textDirection w:val="btLr"/>
          </w:tcPr>
          <w:p w14:paraId="1FEBDDD7" w14:textId="77777777" w:rsidR="0039481A" w:rsidRPr="00A30293" w:rsidRDefault="0039481A" w:rsidP="0084767B">
            <w:pPr>
              <w:ind w:left="113" w:right="113"/>
              <w:rPr>
                <w:rFonts w:cs="Arial"/>
                <w:b/>
                <w:sz w:val="16"/>
                <w:szCs w:val="16"/>
              </w:rPr>
            </w:pPr>
            <w:r w:rsidRPr="00A30293">
              <w:rPr>
                <w:rFonts w:cs="Arial"/>
                <w:b/>
                <w:sz w:val="16"/>
                <w:szCs w:val="16"/>
              </w:rPr>
              <w:t>DOP</w:t>
            </w:r>
          </w:p>
          <w:p w14:paraId="36AA509B" w14:textId="77777777" w:rsidR="0039481A" w:rsidRPr="003A0A55" w:rsidRDefault="0039481A" w:rsidP="0084767B">
            <w:pPr>
              <w:ind w:left="113" w:right="113"/>
              <w:rPr>
                <w:rFonts w:cs="Arial"/>
              </w:rPr>
            </w:pPr>
            <w:r w:rsidRPr="00A30293">
              <w:rPr>
                <w:rFonts w:cs="Arial"/>
                <w:b/>
                <w:sz w:val="16"/>
                <w:szCs w:val="16"/>
              </w:rPr>
              <w:t>Feb. 2, 2016</w:t>
            </w:r>
          </w:p>
        </w:tc>
        <w:tc>
          <w:tcPr>
            <w:tcW w:w="2250" w:type="dxa"/>
            <w:tcBorders>
              <w:top w:val="single" w:sz="4" w:space="0" w:color="auto"/>
              <w:bottom w:val="single" w:sz="4" w:space="0" w:color="auto"/>
            </w:tcBorders>
            <w:shd w:val="clear" w:color="auto" w:fill="auto"/>
          </w:tcPr>
          <w:p w14:paraId="3EE3196F" w14:textId="77777777" w:rsidR="0039481A" w:rsidRPr="003A0A55" w:rsidRDefault="0039481A" w:rsidP="0084767B">
            <w:pPr>
              <w:rPr>
                <w:rFonts w:cs="Arial"/>
                <w:sz w:val="18"/>
                <w:szCs w:val="18"/>
              </w:rPr>
            </w:pPr>
            <w:r w:rsidRPr="003A0A55">
              <w:rPr>
                <w:rFonts w:cs="Arial"/>
                <w:sz w:val="18"/>
                <w:szCs w:val="18"/>
              </w:rPr>
              <w:t>Homeowner may</w:t>
            </w:r>
          </w:p>
          <w:p w14:paraId="295389F9" w14:textId="77777777" w:rsidR="0039481A" w:rsidRPr="003A0A55" w:rsidRDefault="0039481A" w:rsidP="0084767B">
            <w:pPr>
              <w:rPr>
                <w:rFonts w:cs="Arial"/>
                <w:sz w:val="18"/>
                <w:szCs w:val="18"/>
              </w:rPr>
            </w:pPr>
            <w:r>
              <w:rPr>
                <w:rFonts w:cs="Arial"/>
                <w:sz w:val="18"/>
                <w:szCs w:val="18"/>
              </w:rPr>
              <w:t>s</w:t>
            </w:r>
            <w:r w:rsidRPr="003A0A55">
              <w:rPr>
                <w:rFonts w:cs="Arial"/>
                <w:sz w:val="18"/>
                <w:szCs w:val="18"/>
              </w:rPr>
              <w:t xml:space="preserve">ubmit </w:t>
            </w:r>
            <w:r>
              <w:rPr>
                <w:rFonts w:cs="Arial"/>
                <w:sz w:val="18"/>
                <w:szCs w:val="18"/>
              </w:rPr>
              <w:t>year-end form</w:t>
            </w:r>
          </w:p>
          <w:p w14:paraId="04E0D659" w14:textId="77777777" w:rsidR="0039481A" w:rsidRPr="003A0A55" w:rsidRDefault="0039481A" w:rsidP="0084767B">
            <w:pPr>
              <w:rPr>
                <w:rFonts w:cs="Arial"/>
                <w:sz w:val="18"/>
                <w:szCs w:val="18"/>
              </w:rPr>
            </w:pPr>
          </w:p>
          <w:p w14:paraId="408BD359" w14:textId="77777777" w:rsidR="0039481A" w:rsidRPr="003A0A55" w:rsidRDefault="0039481A" w:rsidP="0084767B">
            <w:pPr>
              <w:rPr>
                <w:rFonts w:cs="Arial"/>
                <w:sz w:val="18"/>
                <w:szCs w:val="18"/>
              </w:rPr>
            </w:pPr>
            <w:r>
              <w:rPr>
                <w:rFonts w:cs="Arial"/>
                <w:sz w:val="18"/>
                <w:szCs w:val="18"/>
              </w:rPr>
              <w:t>Jan. 3</w:t>
            </w:r>
            <w:r w:rsidRPr="003A0A55">
              <w:rPr>
                <w:rFonts w:cs="Arial"/>
                <w:sz w:val="18"/>
                <w:szCs w:val="18"/>
              </w:rPr>
              <w:t xml:space="preserve">,                  </w:t>
            </w:r>
            <w:r>
              <w:rPr>
                <w:rFonts w:cs="Arial"/>
                <w:sz w:val="18"/>
                <w:szCs w:val="18"/>
              </w:rPr>
              <w:t>Feb. 2</w:t>
            </w:r>
            <w:r w:rsidRPr="003A0A55">
              <w:rPr>
                <w:rFonts w:cs="Arial"/>
                <w:sz w:val="18"/>
                <w:szCs w:val="18"/>
              </w:rPr>
              <w:t>,</w:t>
            </w:r>
          </w:p>
          <w:p w14:paraId="4F37CDF4" w14:textId="77777777" w:rsidR="0039481A" w:rsidRPr="003A0A55" w:rsidRDefault="0039481A" w:rsidP="0084767B">
            <w:pPr>
              <w:rPr>
                <w:rFonts w:cs="Arial"/>
              </w:rPr>
            </w:pPr>
            <w:r w:rsidRPr="003A0A55">
              <w:rPr>
                <w:rFonts w:cs="Arial"/>
                <w:noProof/>
                <w:sz w:val="18"/>
                <w:szCs w:val="18"/>
                <w:lang w:val="en-CA" w:eastAsia="en-CA"/>
              </w:rPr>
              <mc:AlternateContent>
                <mc:Choice Requires="wps">
                  <w:drawing>
                    <wp:anchor distT="0" distB="0" distL="114300" distR="114300" simplePos="0" relativeHeight="251672576" behindDoc="0" locked="0" layoutInCell="1" allowOverlap="1" wp14:anchorId="2F9B30FA" wp14:editId="6FB2ABAD">
                      <wp:simplePos x="0" y="0"/>
                      <wp:positionH relativeFrom="column">
                        <wp:posOffset>426720</wp:posOffset>
                      </wp:positionH>
                      <wp:positionV relativeFrom="paragraph">
                        <wp:posOffset>12700</wp:posOffset>
                      </wp:positionV>
                      <wp:extent cx="403860" cy="0"/>
                      <wp:effectExtent l="7620" t="60325" r="17145" b="539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E93DA" id="_x0000_t32" coordsize="21600,21600" o:spt="32" o:oned="t" path="m,l21600,21600e" filled="f">
                      <v:path arrowok="t" fillok="f" o:connecttype="none"/>
                      <o:lock v:ext="edit" shapetype="t"/>
                    </v:shapetype>
                    <v:shape id="Straight Arrow Connector 22" o:spid="_x0000_s1026" type="#_x0000_t32" style="position:absolute;margin-left:33.6pt;margin-top:1pt;width:31.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">
                      <v:stroke endarrow="block"/>
                    </v:shape>
                  </w:pict>
                </mc:Fallback>
              </mc:AlternateContent>
            </w:r>
            <w:r>
              <w:rPr>
                <w:rFonts w:cs="Arial"/>
                <w:sz w:val="18"/>
                <w:szCs w:val="18"/>
              </w:rPr>
              <w:t>2017</w:t>
            </w:r>
            <w:r w:rsidRPr="003A0A55">
              <w:rPr>
                <w:rFonts w:cs="Arial"/>
                <w:sz w:val="18"/>
                <w:szCs w:val="18"/>
              </w:rPr>
              <w:t xml:space="preserve">                     201</w:t>
            </w:r>
            <w:r>
              <w:rPr>
                <w:rFonts w:cs="Arial"/>
                <w:sz w:val="18"/>
                <w:szCs w:val="18"/>
              </w:rPr>
              <w:t>7</w:t>
            </w:r>
          </w:p>
        </w:tc>
        <w:tc>
          <w:tcPr>
            <w:tcW w:w="2340" w:type="dxa"/>
            <w:tcBorders>
              <w:top w:val="single" w:sz="4" w:space="0" w:color="auto"/>
              <w:bottom w:val="single" w:sz="4" w:space="0" w:color="auto"/>
            </w:tcBorders>
            <w:shd w:val="clear" w:color="auto" w:fill="auto"/>
          </w:tcPr>
          <w:p w14:paraId="2AE4F491" w14:textId="77777777" w:rsidR="0039481A" w:rsidRPr="003A0A55" w:rsidRDefault="0039481A" w:rsidP="0084767B">
            <w:pPr>
              <w:rPr>
                <w:rFonts w:cs="Arial"/>
                <w:sz w:val="18"/>
                <w:szCs w:val="18"/>
              </w:rPr>
            </w:pPr>
          </w:p>
          <w:p w14:paraId="2C8719DF" w14:textId="77777777" w:rsidR="0039481A" w:rsidRPr="003A0A55" w:rsidRDefault="0039481A" w:rsidP="0084767B">
            <w:pPr>
              <w:rPr>
                <w:rFonts w:cs="Arial"/>
                <w:sz w:val="18"/>
                <w:szCs w:val="18"/>
              </w:rPr>
            </w:pPr>
            <w:r w:rsidRPr="003A0A55">
              <w:rPr>
                <w:rFonts w:cs="Arial"/>
                <w:sz w:val="18"/>
                <w:szCs w:val="18"/>
              </w:rPr>
              <w:t>Initial builder repair period</w:t>
            </w:r>
          </w:p>
          <w:p w14:paraId="55F84685" w14:textId="77777777" w:rsidR="0039481A" w:rsidRPr="003A0A55" w:rsidRDefault="0039481A" w:rsidP="0084767B">
            <w:pPr>
              <w:rPr>
                <w:rFonts w:cs="Arial"/>
                <w:sz w:val="18"/>
                <w:szCs w:val="18"/>
              </w:rPr>
            </w:pPr>
          </w:p>
          <w:p w14:paraId="30B6333C" w14:textId="77777777" w:rsidR="0039481A" w:rsidRPr="003A0A55" w:rsidRDefault="0039481A" w:rsidP="0084767B">
            <w:pPr>
              <w:rPr>
                <w:rFonts w:cs="Arial"/>
                <w:sz w:val="18"/>
                <w:szCs w:val="18"/>
              </w:rPr>
            </w:pPr>
            <w:r>
              <w:rPr>
                <w:rFonts w:cs="Arial"/>
                <w:sz w:val="18"/>
                <w:szCs w:val="18"/>
              </w:rPr>
              <w:t>Feb</w:t>
            </w:r>
            <w:r w:rsidRPr="003A0A55">
              <w:rPr>
                <w:rFonts w:cs="Arial"/>
                <w:sz w:val="18"/>
                <w:szCs w:val="18"/>
              </w:rPr>
              <w:t xml:space="preserve">. </w:t>
            </w:r>
            <w:r>
              <w:rPr>
                <w:rFonts w:cs="Arial"/>
                <w:sz w:val="18"/>
                <w:szCs w:val="18"/>
              </w:rPr>
              <w:t>3</w:t>
            </w:r>
            <w:r w:rsidRPr="003A0A55">
              <w:rPr>
                <w:rFonts w:cs="Arial"/>
                <w:sz w:val="18"/>
                <w:szCs w:val="18"/>
              </w:rPr>
              <w:t xml:space="preserve">,                  </w:t>
            </w:r>
            <w:r>
              <w:rPr>
                <w:rFonts w:cs="Arial"/>
                <w:sz w:val="18"/>
                <w:szCs w:val="18"/>
              </w:rPr>
              <w:t>June 3</w:t>
            </w:r>
            <w:r w:rsidRPr="003A0A55">
              <w:rPr>
                <w:rFonts w:cs="Arial"/>
                <w:sz w:val="18"/>
                <w:szCs w:val="18"/>
              </w:rPr>
              <w:t>,</w:t>
            </w:r>
          </w:p>
          <w:p w14:paraId="58D8533F" w14:textId="77777777" w:rsidR="0039481A" w:rsidRPr="003A0A55" w:rsidRDefault="0039481A" w:rsidP="0084767B">
            <w:pPr>
              <w:rPr>
                <w:rFonts w:cs="Arial"/>
              </w:rPr>
            </w:pPr>
            <w:r w:rsidRPr="003A0A55">
              <w:rPr>
                <w:rFonts w:cs="Arial"/>
                <w:noProof/>
                <w:sz w:val="18"/>
                <w:szCs w:val="18"/>
                <w:lang w:val="en-CA" w:eastAsia="en-CA"/>
              </w:rPr>
              <mc:AlternateContent>
                <mc:Choice Requires="wps">
                  <w:drawing>
                    <wp:anchor distT="0" distB="0" distL="114300" distR="114300" simplePos="0" relativeHeight="251673600" behindDoc="0" locked="0" layoutInCell="1" allowOverlap="1" wp14:anchorId="34710947" wp14:editId="6F7DC554">
                      <wp:simplePos x="0" y="0"/>
                      <wp:positionH relativeFrom="column">
                        <wp:posOffset>426720</wp:posOffset>
                      </wp:positionH>
                      <wp:positionV relativeFrom="paragraph">
                        <wp:posOffset>12700</wp:posOffset>
                      </wp:positionV>
                      <wp:extent cx="403860" cy="0"/>
                      <wp:effectExtent l="7620" t="60325" r="17145" b="539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23FB4" id="Straight Arrow Connector 21" o:spid="_x0000_s1026" type="#_x0000_t32" style="position:absolute;margin-left:33.6pt;margin-top:1pt;width:3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">
                      <v:stroke endarrow="block"/>
                    </v:shape>
                  </w:pict>
                </mc:Fallback>
              </mc:AlternateContent>
            </w:r>
            <w:r>
              <w:rPr>
                <w:rFonts w:cs="Arial"/>
                <w:sz w:val="18"/>
                <w:szCs w:val="18"/>
              </w:rPr>
              <w:t>2017</w:t>
            </w:r>
            <w:r w:rsidRPr="003A0A55">
              <w:rPr>
                <w:rFonts w:cs="Arial"/>
                <w:sz w:val="18"/>
                <w:szCs w:val="18"/>
              </w:rPr>
              <w:t xml:space="preserve">                     201</w:t>
            </w:r>
            <w:r>
              <w:rPr>
                <w:rFonts w:cs="Arial"/>
                <w:sz w:val="18"/>
                <w:szCs w:val="18"/>
              </w:rPr>
              <w:t>7</w:t>
            </w:r>
          </w:p>
        </w:tc>
        <w:tc>
          <w:tcPr>
            <w:tcW w:w="2430" w:type="dxa"/>
            <w:tcBorders>
              <w:top w:val="single" w:sz="4" w:space="0" w:color="auto"/>
              <w:bottom w:val="single" w:sz="4" w:space="0" w:color="auto"/>
            </w:tcBorders>
            <w:shd w:val="clear" w:color="auto" w:fill="auto"/>
          </w:tcPr>
          <w:p w14:paraId="7DFE788A" w14:textId="77777777" w:rsidR="0039481A" w:rsidRPr="003A0A55" w:rsidRDefault="0039481A" w:rsidP="0084767B">
            <w:pPr>
              <w:rPr>
                <w:rFonts w:cs="Arial"/>
                <w:sz w:val="18"/>
                <w:szCs w:val="18"/>
              </w:rPr>
            </w:pPr>
            <w:r w:rsidRPr="003A0A55">
              <w:rPr>
                <w:rFonts w:cs="Arial"/>
                <w:sz w:val="18"/>
                <w:szCs w:val="18"/>
              </w:rPr>
              <w:t>Homeowner may</w:t>
            </w:r>
          </w:p>
          <w:p w14:paraId="2663527A" w14:textId="77777777" w:rsidR="0039481A" w:rsidRPr="003A0A55" w:rsidRDefault="0039481A" w:rsidP="0084767B">
            <w:pPr>
              <w:rPr>
                <w:rFonts w:cs="Arial"/>
                <w:sz w:val="18"/>
                <w:szCs w:val="18"/>
              </w:rPr>
            </w:pPr>
            <w:r w:rsidRPr="003A0A55">
              <w:rPr>
                <w:rFonts w:cs="Arial"/>
                <w:sz w:val="18"/>
                <w:szCs w:val="18"/>
              </w:rPr>
              <w:t>request conciliation</w:t>
            </w:r>
          </w:p>
          <w:p w14:paraId="4B5FCE0A" w14:textId="77777777" w:rsidR="0039481A" w:rsidRPr="003A0A55" w:rsidRDefault="0039481A" w:rsidP="0084767B">
            <w:pPr>
              <w:rPr>
                <w:rFonts w:cs="Arial"/>
                <w:sz w:val="18"/>
                <w:szCs w:val="18"/>
              </w:rPr>
            </w:pPr>
          </w:p>
          <w:p w14:paraId="3570268E" w14:textId="77777777" w:rsidR="0039481A" w:rsidRPr="003A0A55" w:rsidRDefault="0039481A" w:rsidP="0084767B">
            <w:pPr>
              <w:rPr>
                <w:rFonts w:cs="Arial"/>
                <w:sz w:val="18"/>
                <w:szCs w:val="18"/>
              </w:rPr>
            </w:pPr>
            <w:r>
              <w:rPr>
                <w:rFonts w:cs="Arial"/>
                <w:sz w:val="18"/>
                <w:szCs w:val="18"/>
              </w:rPr>
              <w:t>June 4,                  July 4</w:t>
            </w:r>
            <w:r w:rsidRPr="003A0A55">
              <w:rPr>
                <w:rFonts w:cs="Arial"/>
                <w:sz w:val="18"/>
                <w:szCs w:val="18"/>
              </w:rPr>
              <w:t>,</w:t>
            </w:r>
          </w:p>
          <w:p w14:paraId="2A83F605" w14:textId="77777777" w:rsidR="0039481A" w:rsidRPr="003A0A55" w:rsidRDefault="0039481A" w:rsidP="0084767B">
            <w:pPr>
              <w:rPr>
                <w:rFonts w:cs="Arial"/>
              </w:rPr>
            </w:pPr>
            <w:r w:rsidRPr="003A0A55">
              <w:rPr>
                <w:rFonts w:cs="Arial"/>
                <w:noProof/>
                <w:sz w:val="18"/>
                <w:szCs w:val="18"/>
                <w:lang w:val="en-CA" w:eastAsia="en-CA"/>
              </w:rPr>
              <mc:AlternateContent>
                <mc:Choice Requires="wps">
                  <w:drawing>
                    <wp:anchor distT="0" distB="0" distL="114300" distR="114300" simplePos="0" relativeHeight="251674624" behindDoc="0" locked="0" layoutInCell="1" allowOverlap="1" wp14:anchorId="47080DDE" wp14:editId="1B08DC49">
                      <wp:simplePos x="0" y="0"/>
                      <wp:positionH relativeFrom="column">
                        <wp:posOffset>426720</wp:posOffset>
                      </wp:positionH>
                      <wp:positionV relativeFrom="paragraph">
                        <wp:posOffset>12700</wp:posOffset>
                      </wp:positionV>
                      <wp:extent cx="403860" cy="0"/>
                      <wp:effectExtent l="7620" t="60325" r="17145" b="539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B71B9" id="Straight Arrow Connector 20" o:spid="_x0000_s1026" type="#_x0000_t32" style="position:absolute;margin-left:33.6pt;margin-top:1pt;width:3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KKOgIAAG0EAAAOAAAAZHJzL2Uyb0RvYy54bWysVMtu2zAQvBfoPxC8O5IcxXW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">
                      <v:stroke endarrow="block"/>
                    </v:shape>
                  </w:pict>
                </mc:Fallback>
              </mc:AlternateContent>
            </w:r>
            <w:r>
              <w:rPr>
                <w:rFonts w:cs="Arial"/>
                <w:sz w:val="18"/>
                <w:szCs w:val="18"/>
              </w:rPr>
              <w:t>2017</w:t>
            </w:r>
            <w:r w:rsidRPr="003A0A55">
              <w:rPr>
                <w:rFonts w:cs="Arial"/>
                <w:sz w:val="18"/>
                <w:szCs w:val="18"/>
              </w:rPr>
              <w:t xml:space="preserve">                   </w:t>
            </w:r>
            <w:r>
              <w:rPr>
                <w:rFonts w:cs="Arial"/>
                <w:sz w:val="18"/>
                <w:szCs w:val="18"/>
              </w:rPr>
              <w:t xml:space="preserve">  </w:t>
            </w:r>
            <w:r w:rsidRPr="003A0A55">
              <w:rPr>
                <w:rFonts w:cs="Arial"/>
                <w:sz w:val="18"/>
                <w:szCs w:val="18"/>
              </w:rPr>
              <w:t xml:space="preserve"> 201</w:t>
            </w:r>
            <w:r>
              <w:rPr>
                <w:rFonts w:cs="Arial"/>
                <w:sz w:val="18"/>
                <w:szCs w:val="18"/>
              </w:rPr>
              <w:t>7</w:t>
            </w:r>
          </w:p>
        </w:tc>
      </w:tr>
      <w:tr w:rsidR="0039481A" w:rsidRPr="003A0A55" w14:paraId="1401077C" w14:textId="77777777" w:rsidTr="0084767B">
        <w:tc>
          <w:tcPr>
            <w:tcW w:w="1008" w:type="dxa"/>
            <w:tcBorders>
              <w:top w:val="single" w:sz="4" w:space="0" w:color="auto"/>
              <w:left w:val="nil"/>
              <w:bottom w:val="nil"/>
              <w:right w:val="nil"/>
            </w:tcBorders>
            <w:shd w:val="clear" w:color="auto" w:fill="auto"/>
          </w:tcPr>
          <w:p w14:paraId="4AB668D5" w14:textId="77777777" w:rsidR="0039481A" w:rsidRPr="003A0A55" w:rsidRDefault="0039481A" w:rsidP="0084767B">
            <w:pPr>
              <w:jc w:val="center"/>
              <w:rPr>
                <w:rFonts w:cs="Arial"/>
              </w:rPr>
            </w:pPr>
          </w:p>
        </w:tc>
        <w:tc>
          <w:tcPr>
            <w:tcW w:w="2250" w:type="dxa"/>
            <w:tcBorders>
              <w:top w:val="single" w:sz="4" w:space="0" w:color="auto"/>
              <w:left w:val="nil"/>
              <w:bottom w:val="nil"/>
              <w:right w:val="nil"/>
            </w:tcBorders>
            <w:shd w:val="clear" w:color="auto" w:fill="auto"/>
          </w:tcPr>
          <w:p w14:paraId="52E0A292" w14:textId="77777777" w:rsidR="0039481A" w:rsidRPr="003A0A55" w:rsidRDefault="0039481A" w:rsidP="0084767B">
            <w:pPr>
              <w:rPr>
                <w:rFonts w:cs="Arial"/>
                <w:b/>
              </w:rPr>
            </w:pPr>
            <w:r w:rsidRPr="003A0A55">
              <w:rPr>
                <w:rFonts w:cs="Arial"/>
                <w:b/>
              </w:rPr>
              <w:t xml:space="preserve">              </w:t>
            </w:r>
            <w:r w:rsidRPr="003A0A55">
              <w:rPr>
                <w:rFonts w:cs="Arial"/>
                <w:b/>
                <w:noProof/>
                <w:lang w:val="en-CA" w:eastAsia="en-CA"/>
              </w:rPr>
              <w:drawing>
                <wp:inline distT="0" distB="0" distL="0" distR="0" wp14:anchorId="3DF79FCE" wp14:editId="5FBA8005">
                  <wp:extent cx="84455" cy="160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p>
        </w:tc>
        <w:tc>
          <w:tcPr>
            <w:tcW w:w="2340" w:type="dxa"/>
            <w:tcBorders>
              <w:top w:val="single" w:sz="4" w:space="0" w:color="auto"/>
              <w:left w:val="nil"/>
              <w:bottom w:val="nil"/>
              <w:right w:val="nil"/>
            </w:tcBorders>
            <w:shd w:val="clear" w:color="auto" w:fill="auto"/>
          </w:tcPr>
          <w:p w14:paraId="0EC9AA29" w14:textId="77777777" w:rsidR="0039481A" w:rsidRPr="003A0A55" w:rsidRDefault="0039481A" w:rsidP="0084767B">
            <w:pPr>
              <w:jc w:val="center"/>
              <w:rPr>
                <w:rFonts w:cs="Arial"/>
                <w:b/>
              </w:rPr>
            </w:pPr>
            <w:r w:rsidRPr="003A0A55">
              <w:rPr>
                <w:rFonts w:cs="Arial"/>
                <w:b/>
                <w:noProof/>
                <w:lang w:val="en-CA" w:eastAsia="en-CA"/>
              </w:rPr>
              <w:drawing>
                <wp:inline distT="0" distB="0" distL="0" distR="0" wp14:anchorId="10CE2606" wp14:editId="4F955E5D">
                  <wp:extent cx="84455" cy="1606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p>
        </w:tc>
        <w:tc>
          <w:tcPr>
            <w:tcW w:w="2430" w:type="dxa"/>
            <w:tcBorders>
              <w:top w:val="single" w:sz="4" w:space="0" w:color="auto"/>
              <w:left w:val="nil"/>
              <w:bottom w:val="nil"/>
              <w:right w:val="nil"/>
            </w:tcBorders>
            <w:shd w:val="clear" w:color="auto" w:fill="auto"/>
          </w:tcPr>
          <w:p w14:paraId="6991A8AE" w14:textId="77777777" w:rsidR="0039481A" w:rsidRPr="003A0A55" w:rsidRDefault="0039481A" w:rsidP="0084767B">
            <w:pPr>
              <w:jc w:val="center"/>
              <w:rPr>
                <w:rFonts w:cs="Arial"/>
                <w:b/>
              </w:rPr>
            </w:pPr>
            <w:r w:rsidRPr="003A0A55">
              <w:rPr>
                <w:rFonts w:cs="Arial"/>
                <w:b/>
                <w:noProof/>
                <w:lang w:val="en-CA" w:eastAsia="en-CA"/>
              </w:rPr>
              <w:drawing>
                <wp:inline distT="0" distB="0" distL="0" distR="0" wp14:anchorId="3051F9BE" wp14:editId="53E6AD56">
                  <wp:extent cx="84455" cy="160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p>
        </w:tc>
      </w:tr>
      <w:tr w:rsidR="0039481A" w:rsidRPr="003A0A55" w14:paraId="7F31ABDD" w14:textId="77777777" w:rsidTr="0084767B">
        <w:tc>
          <w:tcPr>
            <w:tcW w:w="1008" w:type="dxa"/>
            <w:tcBorders>
              <w:top w:val="nil"/>
              <w:left w:val="nil"/>
              <w:bottom w:val="nil"/>
              <w:right w:val="nil"/>
            </w:tcBorders>
            <w:shd w:val="clear" w:color="auto" w:fill="auto"/>
          </w:tcPr>
          <w:p w14:paraId="0688E596" w14:textId="77777777" w:rsidR="0039481A" w:rsidRPr="003A0A55" w:rsidRDefault="0039481A" w:rsidP="0084767B">
            <w:pPr>
              <w:jc w:val="center"/>
              <w:rPr>
                <w:rFonts w:cs="Arial"/>
              </w:rPr>
            </w:pPr>
          </w:p>
        </w:tc>
        <w:tc>
          <w:tcPr>
            <w:tcW w:w="2250" w:type="dxa"/>
            <w:tcBorders>
              <w:top w:val="nil"/>
              <w:left w:val="nil"/>
              <w:bottom w:val="nil"/>
              <w:right w:val="nil"/>
            </w:tcBorders>
            <w:shd w:val="clear" w:color="auto" w:fill="auto"/>
          </w:tcPr>
          <w:p w14:paraId="4CDC4E2F" w14:textId="77777777" w:rsidR="0039481A" w:rsidRPr="003A0A55" w:rsidRDefault="0039481A" w:rsidP="0084767B">
            <w:pPr>
              <w:jc w:val="center"/>
              <w:rPr>
                <w:rFonts w:cs="Arial"/>
                <w:sz w:val="18"/>
                <w:szCs w:val="18"/>
              </w:rPr>
            </w:pPr>
            <w:r>
              <w:rPr>
                <w:rFonts w:cs="Arial"/>
                <w:sz w:val="18"/>
                <w:szCs w:val="18"/>
              </w:rPr>
              <w:t>Jan. 15, 2017</w:t>
            </w:r>
          </w:p>
          <w:p w14:paraId="3AB03EBC" w14:textId="77777777" w:rsidR="0039481A" w:rsidRPr="003A0A55" w:rsidRDefault="0039481A" w:rsidP="0084767B">
            <w:pPr>
              <w:jc w:val="center"/>
              <w:rPr>
                <w:rFonts w:cs="Arial"/>
                <w:sz w:val="18"/>
                <w:szCs w:val="18"/>
              </w:rPr>
            </w:pPr>
            <w:r>
              <w:rPr>
                <w:rFonts w:cs="Arial"/>
                <w:sz w:val="18"/>
                <w:szCs w:val="18"/>
              </w:rPr>
              <w:t>Homeowner submits year-end</w:t>
            </w:r>
            <w:r w:rsidRPr="003A0A55">
              <w:rPr>
                <w:rFonts w:cs="Arial"/>
                <w:sz w:val="18"/>
                <w:szCs w:val="18"/>
              </w:rPr>
              <w:t xml:space="preserve"> list on time</w:t>
            </w:r>
          </w:p>
        </w:tc>
        <w:tc>
          <w:tcPr>
            <w:tcW w:w="2340" w:type="dxa"/>
            <w:tcBorders>
              <w:top w:val="nil"/>
              <w:left w:val="nil"/>
              <w:bottom w:val="nil"/>
              <w:right w:val="nil"/>
            </w:tcBorders>
            <w:shd w:val="clear" w:color="auto" w:fill="auto"/>
          </w:tcPr>
          <w:p w14:paraId="16638E16" w14:textId="77777777" w:rsidR="0039481A" w:rsidRDefault="0039481A" w:rsidP="0084767B">
            <w:pPr>
              <w:jc w:val="center"/>
              <w:rPr>
                <w:rFonts w:cs="Arial"/>
                <w:sz w:val="18"/>
                <w:szCs w:val="18"/>
              </w:rPr>
            </w:pPr>
            <w:r w:rsidRPr="005D65B3">
              <w:rPr>
                <w:rFonts w:cs="Arial"/>
                <w:sz w:val="18"/>
                <w:szCs w:val="18"/>
              </w:rPr>
              <w:t>Builder makes</w:t>
            </w:r>
            <w:r>
              <w:rPr>
                <w:rFonts w:cs="Arial"/>
                <w:sz w:val="18"/>
                <w:szCs w:val="18"/>
              </w:rPr>
              <w:t xml:space="preserve"> repairs</w:t>
            </w:r>
          </w:p>
          <w:p w14:paraId="044EA907" w14:textId="77777777" w:rsidR="0039481A" w:rsidRPr="005D65B3" w:rsidRDefault="0039481A" w:rsidP="0084767B">
            <w:pPr>
              <w:jc w:val="center"/>
              <w:rPr>
                <w:rFonts w:cs="Arial"/>
                <w:sz w:val="18"/>
                <w:szCs w:val="18"/>
              </w:rPr>
            </w:pPr>
            <w:r>
              <w:rPr>
                <w:rFonts w:cs="Arial"/>
                <w:sz w:val="18"/>
                <w:szCs w:val="18"/>
              </w:rPr>
              <w:t>to tile on May 21, 2017</w:t>
            </w:r>
          </w:p>
        </w:tc>
        <w:tc>
          <w:tcPr>
            <w:tcW w:w="2430" w:type="dxa"/>
            <w:tcBorders>
              <w:top w:val="nil"/>
              <w:left w:val="nil"/>
              <w:bottom w:val="nil"/>
              <w:right w:val="nil"/>
            </w:tcBorders>
            <w:shd w:val="clear" w:color="auto" w:fill="auto"/>
          </w:tcPr>
          <w:p w14:paraId="58B72C83" w14:textId="77777777" w:rsidR="0039481A" w:rsidRPr="003A0A55" w:rsidRDefault="0039481A" w:rsidP="0084767B">
            <w:pPr>
              <w:jc w:val="center"/>
              <w:rPr>
                <w:rFonts w:cs="Arial"/>
                <w:noProof/>
                <w:sz w:val="18"/>
                <w:szCs w:val="18"/>
              </w:rPr>
            </w:pPr>
            <w:r w:rsidRPr="003A0A55">
              <w:rPr>
                <w:rFonts w:cs="Arial"/>
                <w:noProof/>
                <w:sz w:val="18"/>
                <w:szCs w:val="18"/>
              </w:rPr>
              <w:t>Homeowner does</w:t>
            </w:r>
          </w:p>
          <w:p w14:paraId="0633758F" w14:textId="77777777" w:rsidR="0039481A" w:rsidRPr="003A0A55" w:rsidRDefault="0039481A" w:rsidP="0084767B">
            <w:pPr>
              <w:jc w:val="center"/>
              <w:rPr>
                <w:rFonts w:cs="Arial"/>
                <w:noProof/>
                <w:sz w:val="18"/>
                <w:szCs w:val="18"/>
              </w:rPr>
            </w:pPr>
            <w:r w:rsidRPr="003A0A55">
              <w:rPr>
                <w:rFonts w:cs="Arial"/>
                <w:noProof/>
                <w:sz w:val="18"/>
                <w:szCs w:val="18"/>
              </w:rPr>
              <w:t>not request conciliation</w:t>
            </w:r>
          </w:p>
        </w:tc>
      </w:tr>
    </w:tbl>
    <w:p w14:paraId="29F3E645" w14:textId="77777777" w:rsidR="0039481A" w:rsidRDefault="0039481A" w:rsidP="000620AC">
      <w:pPr>
        <w:rPr>
          <w:rFonts w:cs="Arial"/>
          <w:lang w:bidi="en-US"/>
        </w:rPr>
      </w:pPr>
    </w:p>
    <w:p w14:paraId="5394A8BD" w14:textId="3DB6CBB0" w:rsidR="0039481A" w:rsidRDefault="0039481A" w:rsidP="000620AC">
      <w:pPr>
        <w:rPr>
          <w:rFonts w:cs="Arial"/>
          <w:lang w:bidi="en-US"/>
        </w:rPr>
      </w:pPr>
      <w:r w:rsidRPr="0039481A">
        <w:rPr>
          <w:rFonts w:cs="Arial"/>
          <w:lang w:bidi="en-US"/>
        </w:rPr>
        <w:t>Cracked tile listed on Year-End Form repaired on May 21, 2017 fails 2 months later, on July 21, 2017</w:t>
      </w:r>
      <w:r>
        <w:rPr>
          <w:rFonts w:cs="Arial"/>
          <w:lang w:bidi="en-US"/>
        </w:rPr>
        <w:t>.</w:t>
      </w:r>
    </w:p>
    <w:p w14:paraId="32929DA7" w14:textId="77777777" w:rsidR="0039481A" w:rsidRDefault="0039481A" w:rsidP="000620AC">
      <w:pPr>
        <w:rPr>
          <w:rFonts w:cs="Arial"/>
          <w:lang w:bidi="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FF3564" w:rsidRPr="003A0A55" w14:paraId="768152DE" w14:textId="77777777" w:rsidTr="0084767B">
        <w:tc>
          <w:tcPr>
            <w:tcW w:w="5148" w:type="dxa"/>
            <w:tcBorders>
              <w:bottom w:val="single" w:sz="4" w:space="0" w:color="auto"/>
            </w:tcBorders>
            <w:shd w:val="clear" w:color="auto" w:fill="auto"/>
          </w:tcPr>
          <w:p w14:paraId="5187EAD0" w14:textId="77777777" w:rsidR="00FF3564" w:rsidRPr="003A0A55" w:rsidRDefault="00FF3564" w:rsidP="0084767B">
            <w:pPr>
              <w:rPr>
                <w:rFonts w:cs="Arial"/>
              </w:rPr>
            </w:pPr>
            <w:r>
              <w:rPr>
                <w:rFonts w:cs="Arial"/>
              </w:rPr>
              <w:t>Homeowner may submit Repair Warranty Form anytime between July 21, 2017 &amp; May 21, 2018</w:t>
            </w:r>
          </w:p>
          <w:p w14:paraId="66481603" w14:textId="77777777" w:rsidR="00FF3564" w:rsidRPr="003A0A55" w:rsidRDefault="00FF3564" w:rsidP="0084767B">
            <w:pPr>
              <w:rPr>
                <w:rFonts w:cs="Arial"/>
              </w:rPr>
            </w:pPr>
          </w:p>
        </w:tc>
      </w:tr>
      <w:tr w:rsidR="00FF3564" w:rsidRPr="003A0A55" w14:paraId="7100D7BD" w14:textId="77777777" w:rsidTr="0084767B">
        <w:trPr>
          <w:trHeight w:val="1151"/>
        </w:trPr>
        <w:tc>
          <w:tcPr>
            <w:tcW w:w="5148" w:type="dxa"/>
            <w:tcBorders>
              <w:top w:val="single" w:sz="4" w:space="0" w:color="auto"/>
              <w:left w:val="nil"/>
              <w:bottom w:val="nil"/>
              <w:right w:val="nil"/>
            </w:tcBorders>
            <w:shd w:val="clear" w:color="auto" w:fill="auto"/>
          </w:tcPr>
          <w:p w14:paraId="5A55106C" w14:textId="77777777" w:rsidR="00FF3564" w:rsidRDefault="00FF3564" w:rsidP="0084767B">
            <w:pPr>
              <w:jc w:val="center"/>
              <w:rPr>
                <w:rFonts w:cs="Arial"/>
                <w:noProof/>
              </w:rPr>
            </w:pPr>
            <w:r w:rsidRPr="003A0A55">
              <w:rPr>
                <w:rFonts w:cs="Arial"/>
                <w:noProof/>
                <w:lang w:val="en-CA" w:eastAsia="en-CA"/>
              </w:rPr>
              <w:drawing>
                <wp:inline distT="0" distB="0" distL="0" distR="0" wp14:anchorId="296527ED" wp14:editId="28B96A71">
                  <wp:extent cx="182245" cy="54165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245" cy="541655"/>
                          </a:xfrm>
                          <a:prstGeom prst="rect">
                            <a:avLst/>
                          </a:prstGeom>
                          <a:noFill/>
                          <a:ln>
                            <a:noFill/>
                          </a:ln>
                        </pic:spPr>
                      </pic:pic>
                    </a:graphicData>
                  </a:graphic>
                </wp:inline>
              </w:drawing>
            </w:r>
          </w:p>
          <w:p w14:paraId="0C63F028" w14:textId="77777777" w:rsidR="00FF3564" w:rsidRPr="003A0A55" w:rsidRDefault="00FF3564" w:rsidP="0084767B">
            <w:pPr>
              <w:jc w:val="center"/>
              <w:rPr>
                <w:rFonts w:cs="Arial"/>
              </w:rPr>
            </w:pPr>
          </w:p>
        </w:tc>
      </w:tr>
    </w:tbl>
    <w:p w14:paraId="48616A1E" w14:textId="77777777" w:rsidR="00FF3564" w:rsidRDefault="00FF3564" w:rsidP="00FF3564">
      <w:pPr>
        <w:ind w:left="360"/>
        <w:rPr>
          <w:rFonts w:cs="Arial"/>
        </w:rPr>
      </w:pPr>
      <w:r>
        <w:rPr>
          <w:rFonts w:cs="Arial"/>
        </w:rPr>
        <w:t>Homeowner submits repair warranty form on July 25, 2017</w:t>
      </w:r>
    </w:p>
    <w:p w14:paraId="5C30CF7F" w14:textId="77777777" w:rsidR="00FF3564" w:rsidRDefault="00FF3564" w:rsidP="00FF3564">
      <w:pPr>
        <w:ind w:left="360"/>
        <w:rPr>
          <w:rFonts w:cs="Arial"/>
        </w:rPr>
      </w:pPr>
    </w:p>
    <w:p w14:paraId="579529BB" w14:textId="31FA0F0C" w:rsidR="00FF3564" w:rsidRDefault="00FF3564" w:rsidP="00B91F96">
      <w:pPr>
        <w:ind w:left="360"/>
        <w:rPr>
          <w:rFonts w:cs="Arial"/>
        </w:rPr>
      </w:pPr>
      <w:r>
        <w:rPr>
          <w:rFonts w:cs="Arial"/>
          <w:b/>
          <w:noProof/>
        </w:rPr>
        <w:t xml:space="preserve">                                       </w:t>
      </w:r>
      <w:r w:rsidR="00B91F96">
        <w:rPr>
          <w:rFonts w:cs="Arial"/>
          <w:b/>
          <w:noProof/>
        </w:rPr>
        <w:t xml:space="preserve">   </w:t>
      </w:r>
      <w:r>
        <w:rPr>
          <w:rFonts w:cs="Arial"/>
          <w:b/>
          <w:noProof/>
        </w:rPr>
        <w:t xml:space="preserve"> </w:t>
      </w:r>
      <w:r w:rsidRPr="003A0A55">
        <w:rPr>
          <w:rFonts w:cs="Arial"/>
          <w:b/>
          <w:noProof/>
          <w:lang w:val="en-CA" w:eastAsia="en-CA"/>
        </w:rPr>
        <w:drawing>
          <wp:inline distT="0" distB="0" distL="0" distR="0" wp14:anchorId="6C35457E" wp14:editId="445A623F">
            <wp:extent cx="97366" cy="18521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175" cy="192461"/>
                    </a:xfrm>
                    <a:prstGeom prst="rect">
                      <a:avLst/>
                    </a:prstGeom>
                    <a:noFill/>
                    <a:ln>
                      <a:noFill/>
                    </a:ln>
                  </pic:spPr>
                </pic:pic>
              </a:graphicData>
            </a:graphic>
          </wp:inline>
        </w:drawing>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tblGrid>
      <w:tr w:rsidR="00FF3564" w:rsidRPr="003A0A55" w14:paraId="181ABCA7" w14:textId="77777777" w:rsidTr="0084767B">
        <w:tc>
          <w:tcPr>
            <w:tcW w:w="2610" w:type="dxa"/>
            <w:tcBorders>
              <w:top w:val="nil"/>
              <w:left w:val="nil"/>
              <w:bottom w:val="single" w:sz="4" w:space="0" w:color="auto"/>
              <w:right w:val="nil"/>
            </w:tcBorders>
            <w:shd w:val="clear" w:color="auto" w:fill="auto"/>
          </w:tcPr>
          <w:p w14:paraId="106EC8AC" w14:textId="77777777" w:rsidR="00FF3564" w:rsidRPr="003A0A55" w:rsidRDefault="00FF3564" w:rsidP="0084767B">
            <w:pPr>
              <w:jc w:val="center"/>
              <w:rPr>
                <w:rFonts w:cs="Arial"/>
                <w:b/>
              </w:rPr>
            </w:pPr>
            <w:r w:rsidRPr="003A0A55">
              <w:rPr>
                <w:rFonts w:cs="Arial"/>
                <w:b/>
              </w:rPr>
              <w:t>30 Days</w:t>
            </w:r>
          </w:p>
        </w:tc>
        <w:tc>
          <w:tcPr>
            <w:tcW w:w="2700" w:type="dxa"/>
            <w:tcBorders>
              <w:top w:val="nil"/>
              <w:left w:val="nil"/>
              <w:bottom w:val="single" w:sz="4" w:space="0" w:color="auto"/>
              <w:right w:val="nil"/>
            </w:tcBorders>
            <w:shd w:val="clear" w:color="auto" w:fill="auto"/>
          </w:tcPr>
          <w:p w14:paraId="05152AE1" w14:textId="77777777" w:rsidR="00FF3564" w:rsidRPr="003A0A55" w:rsidRDefault="00FF3564" w:rsidP="0084767B">
            <w:pPr>
              <w:jc w:val="center"/>
              <w:rPr>
                <w:rFonts w:cs="Arial"/>
                <w:b/>
              </w:rPr>
            </w:pPr>
            <w:r w:rsidRPr="003A0A55">
              <w:rPr>
                <w:rFonts w:cs="Arial"/>
                <w:b/>
              </w:rPr>
              <w:t>30 Days</w:t>
            </w:r>
          </w:p>
        </w:tc>
      </w:tr>
      <w:tr w:rsidR="00FF3564" w:rsidRPr="003A0A55" w14:paraId="723E713F" w14:textId="77777777" w:rsidTr="0084767B">
        <w:tc>
          <w:tcPr>
            <w:tcW w:w="2610" w:type="dxa"/>
            <w:tcBorders>
              <w:top w:val="single" w:sz="4" w:space="0" w:color="auto"/>
              <w:bottom w:val="single" w:sz="4" w:space="0" w:color="auto"/>
            </w:tcBorders>
            <w:shd w:val="clear" w:color="auto" w:fill="auto"/>
          </w:tcPr>
          <w:p w14:paraId="54C40E03" w14:textId="77777777" w:rsidR="00FF3564" w:rsidRPr="003A0A55" w:rsidRDefault="00FF3564" w:rsidP="0084767B">
            <w:pPr>
              <w:rPr>
                <w:rFonts w:cs="Arial"/>
                <w:sz w:val="18"/>
                <w:szCs w:val="18"/>
              </w:rPr>
            </w:pPr>
            <w:r w:rsidRPr="003A0A55">
              <w:rPr>
                <w:rFonts w:cs="Arial"/>
                <w:sz w:val="18"/>
                <w:szCs w:val="18"/>
              </w:rPr>
              <w:t>Builder pre-conciliation</w:t>
            </w:r>
          </w:p>
          <w:p w14:paraId="005A5D8A" w14:textId="77777777" w:rsidR="00FF3564" w:rsidRPr="003A0A55" w:rsidRDefault="00FF3564" w:rsidP="0084767B">
            <w:pPr>
              <w:rPr>
                <w:rFonts w:cs="Arial"/>
                <w:sz w:val="18"/>
                <w:szCs w:val="18"/>
              </w:rPr>
            </w:pPr>
            <w:r w:rsidRPr="003A0A55">
              <w:rPr>
                <w:rFonts w:cs="Arial"/>
                <w:sz w:val="18"/>
                <w:szCs w:val="18"/>
              </w:rPr>
              <w:t>repair period</w:t>
            </w:r>
          </w:p>
          <w:p w14:paraId="25C31F72" w14:textId="77777777" w:rsidR="00FF3564" w:rsidRPr="003A0A55" w:rsidRDefault="00FF3564" w:rsidP="0084767B">
            <w:pPr>
              <w:rPr>
                <w:rFonts w:cs="Arial"/>
                <w:sz w:val="18"/>
                <w:szCs w:val="18"/>
              </w:rPr>
            </w:pPr>
          </w:p>
          <w:p w14:paraId="499A279D" w14:textId="77777777" w:rsidR="00FF3564" w:rsidRPr="003A0A55" w:rsidRDefault="00FF3564" w:rsidP="0084767B">
            <w:pPr>
              <w:rPr>
                <w:rFonts w:cs="Arial"/>
                <w:sz w:val="18"/>
                <w:szCs w:val="18"/>
              </w:rPr>
            </w:pPr>
            <w:r>
              <w:rPr>
                <w:rFonts w:cs="Arial"/>
                <w:sz w:val="18"/>
                <w:szCs w:val="18"/>
              </w:rPr>
              <w:t>July 26</w:t>
            </w:r>
            <w:r w:rsidRPr="003A0A55">
              <w:rPr>
                <w:rFonts w:cs="Arial"/>
                <w:sz w:val="18"/>
                <w:szCs w:val="18"/>
              </w:rPr>
              <w:t xml:space="preserve">,                   </w:t>
            </w:r>
            <w:r>
              <w:rPr>
                <w:rFonts w:cs="Arial"/>
                <w:sz w:val="18"/>
                <w:szCs w:val="18"/>
              </w:rPr>
              <w:t>Aug. 25</w:t>
            </w:r>
            <w:r w:rsidRPr="003A0A55">
              <w:rPr>
                <w:rFonts w:cs="Arial"/>
                <w:sz w:val="18"/>
                <w:szCs w:val="18"/>
              </w:rPr>
              <w:t>,</w:t>
            </w:r>
          </w:p>
          <w:p w14:paraId="39EE9A09" w14:textId="77777777" w:rsidR="00FF3564" w:rsidRPr="003A0A55" w:rsidRDefault="00FF3564" w:rsidP="0084767B">
            <w:pPr>
              <w:rPr>
                <w:rFonts w:cs="Arial"/>
              </w:rPr>
            </w:pPr>
            <w:r w:rsidRPr="003A0A55">
              <w:rPr>
                <w:rFonts w:cs="Arial"/>
                <w:noProof/>
                <w:sz w:val="18"/>
                <w:szCs w:val="18"/>
                <w:lang w:val="en-CA" w:eastAsia="en-CA"/>
              </w:rPr>
              <mc:AlternateContent>
                <mc:Choice Requires="wps">
                  <w:drawing>
                    <wp:anchor distT="0" distB="0" distL="114300" distR="114300" simplePos="0" relativeHeight="251675648" behindDoc="0" locked="0" layoutInCell="1" allowOverlap="1" wp14:anchorId="7444E5E9" wp14:editId="12350333">
                      <wp:simplePos x="0" y="0"/>
                      <wp:positionH relativeFrom="column">
                        <wp:posOffset>472440</wp:posOffset>
                      </wp:positionH>
                      <wp:positionV relativeFrom="paragraph">
                        <wp:posOffset>12700</wp:posOffset>
                      </wp:positionV>
                      <wp:extent cx="403860" cy="0"/>
                      <wp:effectExtent l="5715" t="60325" r="19050" b="539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A35BC" id="Straight Arrow Connector 19" o:spid="_x0000_s1026" type="#_x0000_t32" style="position:absolute;margin-left:37.2pt;margin-top:1pt;width:31.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">
                      <v:stroke endarrow="block"/>
                    </v:shape>
                  </w:pict>
                </mc:Fallback>
              </mc:AlternateContent>
            </w:r>
            <w:r>
              <w:rPr>
                <w:rFonts w:cs="Arial"/>
                <w:sz w:val="18"/>
                <w:szCs w:val="18"/>
              </w:rPr>
              <w:t>2017</w:t>
            </w:r>
            <w:r w:rsidRPr="003A0A55">
              <w:rPr>
                <w:rFonts w:cs="Arial"/>
                <w:sz w:val="18"/>
                <w:szCs w:val="18"/>
              </w:rPr>
              <w:t xml:space="preserve">                        201</w:t>
            </w:r>
            <w:r>
              <w:rPr>
                <w:rFonts w:cs="Arial"/>
                <w:sz w:val="18"/>
                <w:szCs w:val="18"/>
              </w:rPr>
              <w:t>7</w:t>
            </w:r>
          </w:p>
        </w:tc>
        <w:tc>
          <w:tcPr>
            <w:tcW w:w="2700" w:type="dxa"/>
            <w:tcBorders>
              <w:top w:val="single" w:sz="4" w:space="0" w:color="auto"/>
              <w:bottom w:val="single" w:sz="4" w:space="0" w:color="auto"/>
            </w:tcBorders>
            <w:shd w:val="clear" w:color="auto" w:fill="auto"/>
          </w:tcPr>
          <w:p w14:paraId="1198299B" w14:textId="77777777" w:rsidR="00FF3564" w:rsidRPr="003A0A55" w:rsidRDefault="00FF3564" w:rsidP="0084767B">
            <w:pPr>
              <w:rPr>
                <w:rFonts w:cs="Arial"/>
                <w:sz w:val="18"/>
                <w:szCs w:val="18"/>
              </w:rPr>
            </w:pPr>
            <w:r w:rsidRPr="003A0A55">
              <w:rPr>
                <w:rFonts w:cs="Arial"/>
                <w:sz w:val="18"/>
                <w:szCs w:val="18"/>
              </w:rPr>
              <w:t>Homeowner may request</w:t>
            </w:r>
          </w:p>
          <w:p w14:paraId="1580ED16" w14:textId="77777777" w:rsidR="00FF3564" w:rsidRPr="003A0A55" w:rsidRDefault="00FF3564" w:rsidP="0084767B">
            <w:pPr>
              <w:rPr>
                <w:rFonts w:cs="Arial"/>
                <w:sz w:val="18"/>
                <w:szCs w:val="18"/>
              </w:rPr>
            </w:pPr>
            <w:r w:rsidRPr="003A0A55">
              <w:rPr>
                <w:rFonts w:cs="Arial"/>
                <w:sz w:val="18"/>
                <w:szCs w:val="18"/>
              </w:rPr>
              <w:t>conciliation</w:t>
            </w:r>
          </w:p>
          <w:p w14:paraId="0E142D4D" w14:textId="77777777" w:rsidR="00FF3564" w:rsidRPr="003A0A55" w:rsidRDefault="00FF3564" w:rsidP="0084767B">
            <w:pPr>
              <w:rPr>
                <w:rFonts w:cs="Arial"/>
                <w:sz w:val="18"/>
                <w:szCs w:val="18"/>
              </w:rPr>
            </w:pPr>
          </w:p>
          <w:p w14:paraId="371AA150" w14:textId="77777777" w:rsidR="00FF3564" w:rsidRPr="003A0A55" w:rsidRDefault="00FF3564" w:rsidP="0084767B">
            <w:pPr>
              <w:rPr>
                <w:rFonts w:cs="Arial"/>
                <w:sz w:val="18"/>
                <w:szCs w:val="18"/>
              </w:rPr>
            </w:pPr>
            <w:r>
              <w:rPr>
                <w:rFonts w:cs="Arial"/>
                <w:sz w:val="18"/>
                <w:szCs w:val="18"/>
              </w:rPr>
              <w:t>Aug. 26,                 Sept. 25</w:t>
            </w:r>
            <w:r w:rsidRPr="003A0A55">
              <w:rPr>
                <w:rFonts w:cs="Arial"/>
                <w:sz w:val="18"/>
                <w:szCs w:val="18"/>
              </w:rPr>
              <w:t>,</w:t>
            </w:r>
          </w:p>
          <w:p w14:paraId="13AB58B3" w14:textId="77777777" w:rsidR="00FF3564" w:rsidRPr="003A0A55" w:rsidRDefault="00FF3564" w:rsidP="0084767B">
            <w:pPr>
              <w:rPr>
                <w:rFonts w:cs="Arial"/>
                <w:sz w:val="18"/>
                <w:szCs w:val="18"/>
              </w:rPr>
            </w:pPr>
            <w:r w:rsidRPr="003A0A55">
              <w:rPr>
                <w:rFonts w:cs="Arial"/>
                <w:noProof/>
                <w:sz w:val="18"/>
                <w:szCs w:val="18"/>
                <w:lang w:val="en-CA" w:eastAsia="en-CA"/>
              </w:rPr>
              <mc:AlternateContent>
                <mc:Choice Requires="wps">
                  <w:drawing>
                    <wp:anchor distT="0" distB="0" distL="114300" distR="114300" simplePos="0" relativeHeight="251676672" behindDoc="0" locked="0" layoutInCell="1" allowOverlap="1" wp14:anchorId="16C87034" wp14:editId="228548F8">
                      <wp:simplePos x="0" y="0"/>
                      <wp:positionH relativeFrom="column">
                        <wp:posOffset>510540</wp:posOffset>
                      </wp:positionH>
                      <wp:positionV relativeFrom="paragraph">
                        <wp:posOffset>48895</wp:posOffset>
                      </wp:positionV>
                      <wp:extent cx="403860" cy="0"/>
                      <wp:effectExtent l="5715" t="58420" r="19050"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838A3" id="Straight Arrow Connector 18" o:spid="_x0000_s1026" type="#_x0000_t32" style="position:absolute;margin-left:40.2pt;margin-top:3.85pt;width:31.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">
                      <v:stroke endarrow="block"/>
                    </v:shape>
                  </w:pict>
                </mc:Fallback>
              </mc:AlternateContent>
            </w:r>
            <w:r>
              <w:rPr>
                <w:rFonts w:cs="Arial"/>
                <w:sz w:val="18"/>
                <w:szCs w:val="18"/>
              </w:rPr>
              <w:t>2017</w:t>
            </w:r>
            <w:r w:rsidRPr="003A0A55">
              <w:rPr>
                <w:rFonts w:cs="Arial"/>
                <w:sz w:val="18"/>
                <w:szCs w:val="18"/>
              </w:rPr>
              <w:t xml:space="preserve">                     </w:t>
            </w:r>
            <w:r>
              <w:rPr>
                <w:rFonts w:cs="Arial"/>
                <w:sz w:val="18"/>
                <w:szCs w:val="18"/>
              </w:rPr>
              <w:t xml:space="preserve">  2017</w:t>
            </w:r>
          </w:p>
          <w:p w14:paraId="2F768E50" w14:textId="77777777" w:rsidR="00FF3564" w:rsidRPr="003A0A55" w:rsidRDefault="00FF3564" w:rsidP="0084767B">
            <w:pPr>
              <w:rPr>
                <w:rFonts w:cs="Arial"/>
              </w:rPr>
            </w:pPr>
          </w:p>
        </w:tc>
      </w:tr>
    </w:tbl>
    <w:p w14:paraId="608B6416" w14:textId="77777777" w:rsidR="00FF3564" w:rsidRDefault="00FF3564" w:rsidP="00FF3564">
      <w:pPr>
        <w:ind w:left="360"/>
        <w:rPr>
          <w:rFonts w:cs="Arial"/>
          <w:b/>
          <w:noProof/>
        </w:rPr>
      </w:pP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sidRPr="00616537">
        <w:rPr>
          <w:rFonts w:cs="Arial"/>
          <w:b/>
          <w:noProof/>
          <w:lang w:val="en-CA" w:eastAsia="en-CA"/>
        </w:rPr>
        <w:drawing>
          <wp:inline distT="0" distB="0" distL="0" distR="0" wp14:anchorId="6E4D0FE8" wp14:editId="1D6831DE">
            <wp:extent cx="84455" cy="160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p>
    <w:p w14:paraId="5E8B96E7" w14:textId="77777777" w:rsidR="00FF3564" w:rsidRDefault="00FF3564" w:rsidP="00FF3564">
      <w:pPr>
        <w:ind w:left="360"/>
        <w:rPr>
          <w:rFonts w:cs="Arial"/>
        </w:rPr>
      </w:pPr>
      <w:r>
        <w:rPr>
          <w:rFonts w:cs="Arial"/>
        </w:rPr>
        <w:t xml:space="preserve">                                                                                     Homeowner requests conciliation within timeframe</w:t>
      </w:r>
    </w:p>
    <w:p w14:paraId="2C28FFE0" w14:textId="77777777" w:rsidR="00FF3564" w:rsidRDefault="00FF3564" w:rsidP="00FF3564">
      <w:pPr>
        <w:ind w:left="2160"/>
        <w:rPr>
          <w:rFonts w:cs="Arial"/>
          <w:b/>
          <w:noProof/>
        </w:rPr>
      </w:pPr>
      <w:r>
        <w:rPr>
          <w:rFonts w:cs="Arial"/>
        </w:rPr>
        <w:tab/>
      </w:r>
      <w:r>
        <w:rPr>
          <w:rFonts w:cs="Arial"/>
        </w:rPr>
        <w:tab/>
      </w:r>
      <w:r>
        <w:rPr>
          <w:rFonts w:cs="Arial"/>
        </w:rPr>
        <w:tab/>
      </w:r>
      <w:r>
        <w:rPr>
          <w:rFonts w:cs="Arial"/>
        </w:rPr>
        <w:tab/>
      </w:r>
      <w:r>
        <w:rPr>
          <w:rFonts w:cs="Arial"/>
        </w:rPr>
        <w:tab/>
        <w:t xml:space="preserve">      </w:t>
      </w:r>
      <w:r>
        <w:rPr>
          <w:rFonts w:cs="Arial"/>
        </w:rPr>
        <w:tab/>
      </w:r>
      <w:r w:rsidRPr="00616537">
        <w:rPr>
          <w:rFonts w:cs="Arial"/>
          <w:b/>
          <w:noProof/>
          <w:lang w:val="en-CA" w:eastAsia="en-CA"/>
        </w:rPr>
        <w:drawing>
          <wp:inline distT="0" distB="0" distL="0" distR="0" wp14:anchorId="414DCB6B" wp14:editId="6081A36F">
            <wp:extent cx="84455" cy="160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p>
    <w:tbl>
      <w:tblPr>
        <w:tblW w:w="4950" w:type="dxa"/>
        <w:tblInd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340"/>
      </w:tblGrid>
      <w:tr w:rsidR="00FF3564" w:rsidRPr="003A0A55" w14:paraId="171DE3C4" w14:textId="77777777" w:rsidTr="0084767B">
        <w:tc>
          <w:tcPr>
            <w:tcW w:w="2610" w:type="dxa"/>
            <w:tcBorders>
              <w:top w:val="nil"/>
              <w:left w:val="nil"/>
              <w:bottom w:val="single" w:sz="4" w:space="0" w:color="auto"/>
              <w:right w:val="nil"/>
            </w:tcBorders>
            <w:shd w:val="clear" w:color="auto" w:fill="auto"/>
          </w:tcPr>
          <w:p w14:paraId="3BECF3B1" w14:textId="77777777" w:rsidR="00FF3564" w:rsidRPr="003A0A55" w:rsidRDefault="00FF3564" w:rsidP="0084767B">
            <w:pPr>
              <w:jc w:val="center"/>
              <w:rPr>
                <w:rFonts w:cs="Arial"/>
                <w:b/>
              </w:rPr>
            </w:pPr>
            <w:r w:rsidRPr="003A0A55">
              <w:rPr>
                <w:rFonts w:cs="Arial"/>
                <w:b/>
              </w:rPr>
              <w:t>30 Days</w:t>
            </w:r>
          </w:p>
        </w:tc>
        <w:tc>
          <w:tcPr>
            <w:tcW w:w="2340" w:type="dxa"/>
            <w:tcBorders>
              <w:top w:val="nil"/>
              <w:left w:val="nil"/>
              <w:bottom w:val="single" w:sz="4" w:space="0" w:color="auto"/>
              <w:right w:val="nil"/>
            </w:tcBorders>
            <w:shd w:val="clear" w:color="auto" w:fill="auto"/>
          </w:tcPr>
          <w:p w14:paraId="0C4D9370" w14:textId="77777777" w:rsidR="00FF3564" w:rsidRPr="003A0A55" w:rsidRDefault="00FF3564" w:rsidP="0084767B">
            <w:pPr>
              <w:jc w:val="center"/>
              <w:rPr>
                <w:rFonts w:cs="Arial"/>
                <w:b/>
              </w:rPr>
            </w:pPr>
          </w:p>
        </w:tc>
      </w:tr>
      <w:tr w:rsidR="00FF3564" w:rsidRPr="003A0A55" w14:paraId="269C04C2" w14:textId="77777777" w:rsidTr="0084767B">
        <w:tc>
          <w:tcPr>
            <w:tcW w:w="2610" w:type="dxa"/>
            <w:tcBorders>
              <w:top w:val="single" w:sz="4" w:space="0" w:color="auto"/>
              <w:bottom w:val="single" w:sz="4" w:space="0" w:color="auto"/>
            </w:tcBorders>
            <w:shd w:val="clear" w:color="auto" w:fill="auto"/>
          </w:tcPr>
          <w:p w14:paraId="70B792E4" w14:textId="77777777" w:rsidR="00FF3564" w:rsidRPr="003A0A55" w:rsidRDefault="00FF3564" w:rsidP="0084767B">
            <w:pPr>
              <w:rPr>
                <w:rFonts w:cs="Arial"/>
                <w:sz w:val="18"/>
                <w:szCs w:val="18"/>
              </w:rPr>
            </w:pPr>
            <w:r w:rsidRPr="003A0A55">
              <w:rPr>
                <w:rFonts w:cs="Arial"/>
                <w:sz w:val="18"/>
                <w:szCs w:val="18"/>
              </w:rPr>
              <w:t>Conciliation process</w:t>
            </w:r>
          </w:p>
          <w:p w14:paraId="4D8B39FA" w14:textId="77777777" w:rsidR="00FF3564" w:rsidRPr="003A0A55" w:rsidRDefault="00FF3564" w:rsidP="0084767B">
            <w:pPr>
              <w:rPr>
                <w:rFonts w:cs="Arial"/>
                <w:sz w:val="18"/>
                <w:szCs w:val="18"/>
              </w:rPr>
            </w:pPr>
          </w:p>
          <w:p w14:paraId="713BFD1D" w14:textId="77777777" w:rsidR="00FF3564" w:rsidRPr="003A0A55" w:rsidRDefault="00FF3564" w:rsidP="0084767B">
            <w:pPr>
              <w:rPr>
                <w:rFonts w:cs="Arial"/>
                <w:sz w:val="18"/>
                <w:szCs w:val="18"/>
              </w:rPr>
            </w:pPr>
            <w:r>
              <w:rPr>
                <w:rFonts w:cs="Arial"/>
                <w:sz w:val="18"/>
                <w:szCs w:val="18"/>
              </w:rPr>
              <w:t>Sept. 26</w:t>
            </w:r>
            <w:r w:rsidRPr="003A0A55">
              <w:rPr>
                <w:rFonts w:cs="Arial"/>
                <w:sz w:val="18"/>
                <w:szCs w:val="18"/>
              </w:rPr>
              <w:t xml:space="preserve">,                    </w:t>
            </w:r>
            <w:r>
              <w:rPr>
                <w:rFonts w:cs="Arial"/>
                <w:sz w:val="18"/>
                <w:szCs w:val="18"/>
              </w:rPr>
              <w:t>Oct. 26</w:t>
            </w:r>
            <w:r w:rsidRPr="003A0A55">
              <w:rPr>
                <w:rFonts w:cs="Arial"/>
                <w:sz w:val="18"/>
                <w:szCs w:val="18"/>
              </w:rPr>
              <w:t>,</w:t>
            </w:r>
          </w:p>
          <w:p w14:paraId="256A44D0" w14:textId="77777777" w:rsidR="00FF3564" w:rsidRPr="003A0A55" w:rsidRDefault="00FF3564" w:rsidP="0084767B">
            <w:pPr>
              <w:rPr>
                <w:rFonts w:cs="Arial"/>
              </w:rPr>
            </w:pPr>
            <w:r w:rsidRPr="003A0A55">
              <w:rPr>
                <w:rFonts w:cs="Arial"/>
                <w:noProof/>
                <w:sz w:val="18"/>
                <w:szCs w:val="18"/>
                <w:lang w:val="en-CA" w:eastAsia="en-CA"/>
              </w:rPr>
              <mc:AlternateContent>
                <mc:Choice Requires="wps">
                  <w:drawing>
                    <wp:anchor distT="0" distB="0" distL="114300" distR="114300" simplePos="0" relativeHeight="251677696" behindDoc="0" locked="0" layoutInCell="1" allowOverlap="1" wp14:anchorId="6867B1D0" wp14:editId="6D1D6641">
                      <wp:simplePos x="0" y="0"/>
                      <wp:positionH relativeFrom="column">
                        <wp:posOffset>563880</wp:posOffset>
                      </wp:positionH>
                      <wp:positionV relativeFrom="paragraph">
                        <wp:posOffset>12700</wp:posOffset>
                      </wp:positionV>
                      <wp:extent cx="403860" cy="0"/>
                      <wp:effectExtent l="11430" t="60325" r="22860" b="539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47B44" id="Straight Arrow Connector 17" o:spid="_x0000_s1026" type="#_x0000_t32" style="position:absolute;margin-left:44.4pt;margin-top:1pt;width:31.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">
                      <v:stroke endarrow="block"/>
                    </v:shape>
                  </w:pict>
                </mc:Fallback>
              </mc:AlternateContent>
            </w:r>
            <w:r>
              <w:rPr>
                <w:rFonts w:cs="Arial"/>
                <w:sz w:val="18"/>
                <w:szCs w:val="18"/>
              </w:rPr>
              <w:t>2017</w:t>
            </w:r>
            <w:r w:rsidRPr="003A0A55">
              <w:rPr>
                <w:rFonts w:cs="Arial"/>
                <w:sz w:val="18"/>
                <w:szCs w:val="18"/>
              </w:rPr>
              <w:t xml:space="preserve">                          201</w:t>
            </w:r>
            <w:r>
              <w:rPr>
                <w:rFonts w:cs="Arial"/>
                <w:sz w:val="18"/>
                <w:szCs w:val="18"/>
              </w:rPr>
              <w:t>7</w:t>
            </w:r>
          </w:p>
        </w:tc>
        <w:tc>
          <w:tcPr>
            <w:tcW w:w="2340" w:type="dxa"/>
            <w:tcBorders>
              <w:top w:val="single" w:sz="4" w:space="0" w:color="auto"/>
              <w:bottom w:val="single" w:sz="4" w:space="0" w:color="auto"/>
            </w:tcBorders>
            <w:shd w:val="clear" w:color="auto" w:fill="auto"/>
          </w:tcPr>
          <w:p w14:paraId="78DE9C07" w14:textId="77777777" w:rsidR="00FF3564" w:rsidRPr="003A0A55" w:rsidRDefault="00FF3564" w:rsidP="0084767B">
            <w:pPr>
              <w:rPr>
                <w:rFonts w:cs="Arial"/>
                <w:sz w:val="18"/>
                <w:szCs w:val="18"/>
              </w:rPr>
            </w:pPr>
            <w:r w:rsidRPr="003A0A55">
              <w:rPr>
                <w:rFonts w:cs="Arial"/>
                <w:sz w:val="18"/>
                <w:szCs w:val="18"/>
              </w:rPr>
              <w:t>If required, Tarion settles claim with homeowner</w:t>
            </w:r>
          </w:p>
          <w:p w14:paraId="0F14A8CA" w14:textId="77777777" w:rsidR="00FF3564" w:rsidRPr="003A0A55" w:rsidRDefault="00FF3564" w:rsidP="0084767B">
            <w:pPr>
              <w:rPr>
                <w:rFonts w:cs="Arial"/>
              </w:rPr>
            </w:pPr>
          </w:p>
        </w:tc>
      </w:tr>
    </w:tbl>
    <w:p w14:paraId="4A6F42DE" w14:textId="77777777" w:rsidR="00FF3564" w:rsidRPr="002A4102" w:rsidRDefault="00FF3564" w:rsidP="00FF3564">
      <w:pPr>
        <w:ind w:left="720"/>
        <w:rPr>
          <w:rFonts w:cs="Arial"/>
        </w:rPr>
      </w:pPr>
    </w:p>
    <w:p w14:paraId="28B0E55F" w14:textId="77777777" w:rsidR="0039481A" w:rsidRDefault="0039481A" w:rsidP="000620AC">
      <w:pPr>
        <w:rPr>
          <w:rFonts w:cs="Arial"/>
          <w:lang w:bidi="en-US"/>
        </w:rPr>
      </w:pPr>
    </w:p>
    <w:p w14:paraId="6E40BECC" w14:textId="77777777" w:rsidR="00FF3564" w:rsidRPr="00FF3564" w:rsidRDefault="00FF3564" w:rsidP="00FF3564">
      <w:pPr>
        <w:numPr>
          <w:ilvl w:val="0"/>
          <w:numId w:val="39"/>
        </w:numPr>
        <w:rPr>
          <w:rFonts w:cs="Arial"/>
          <w:lang w:bidi="en-US"/>
        </w:rPr>
      </w:pPr>
      <w:r w:rsidRPr="00FF3564">
        <w:rPr>
          <w:rFonts w:cs="Arial"/>
          <w:lang w:bidi="en-US"/>
        </w:rPr>
        <w:t>The homeowner may submit a Year-End Form in the 30-day period prior to the first year anniversary of the date of possession of the home, which is anytime between January 3, 2017 and February 2, 2017, inclusive.  The homeowner in our example submits the Year-End Form on January 15, 2017.  One of the items listed is a cracked tile, which was also listed on the Pre-Delivery Inspection form.</w:t>
      </w:r>
    </w:p>
    <w:p w14:paraId="177B7899" w14:textId="77777777" w:rsidR="00FF3564" w:rsidRDefault="00FF3564" w:rsidP="00FF3564">
      <w:pPr>
        <w:pStyle w:val="ListParagraph"/>
        <w:numPr>
          <w:ilvl w:val="0"/>
          <w:numId w:val="39"/>
        </w:numPr>
        <w:spacing w:before="200"/>
        <w:rPr>
          <w:rFonts w:ascii="Arial" w:hAnsi="Arial" w:cs="Arial"/>
          <w:sz w:val="20"/>
        </w:rPr>
      </w:pPr>
      <w:r>
        <w:rPr>
          <w:rFonts w:ascii="Arial" w:hAnsi="Arial" w:cs="Arial"/>
          <w:sz w:val="20"/>
        </w:rPr>
        <w:t>The builder repairs the tile within the builder repair period, on May 21, 2017.  The homeowner does not request conciliation and the request for conciliation period expires on July 4, 2017.</w:t>
      </w:r>
    </w:p>
    <w:p w14:paraId="76CE4EA2" w14:textId="77777777" w:rsidR="00FF3564" w:rsidRPr="000A6ABE" w:rsidRDefault="00FF3564" w:rsidP="00FF3564">
      <w:pPr>
        <w:pStyle w:val="ListParagraph"/>
        <w:rPr>
          <w:rFonts w:ascii="Arial" w:hAnsi="Arial" w:cs="Arial"/>
          <w:sz w:val="20"/>
        </w:rPr>
      </w:pPr>
    </w:p>
    <w:p w14:paraId="63ABA0E0" w14:textId="77777777" w:rsidR="00FF3564" w:rsidRDefault="00FF3564" w:rsidP="00FF3564">
      <w:pPr>
        <w:pStyle w:val="ListParagraph"/>
        <w:numPr>
          <w:ilvl w:val="0"/>
          <w:numId w:val="39"/>
        </w:numPr>
        <w:spacing w:before="200"/>
        <w:rPr>
          <w:rFonts w:ascii="Arial" w:hAnsi="Arial" w:cs="Arial"/>
          <w:sz w:val="20"/>
        </w:rPr>
      </w:pPr>
      <w:r>
        <w:rPr>
          <w:rFonts w:ascii="Arial" w:hAnsi="Arial" w:cs="Arial"/>
          <w:sz w:val="20"/>
        </w:rPr>
        <w:t>The crack re-occurs in the tile on July 21, 2017.  The homeowner must advise the builder and may trigger the repair warranty claims process by submitting a Repair Warranty Form to the builder and Tarion between July 21, 2017 and August 25, 2017.  In our example, the homeowner submits a Repair Warranty Form on July 25, 2017.</w:t>
      </w:r>
    </w:p>
    <w:p w14:paraId="4A478D50" w14:textId="77777777" w:rsidR="00FF3564" w:rsidRPr="000A6ABE" w:rsidRDefault="00FF3564" w:rsidP="00FF3564">
      <w:pPr>
        <w:pStyle w:val="ListParagraph"/>
        <w:rPr>
          <w:rFonts w:ascii="Arial" w:hAnsi="Arial" w:cs="Arial"/>
          <w:sz w:val="20"/>
        </w:rPr>
      </w:pPr>
    </w:p>
    <w:p w14:paraId="36050B08" w14:textId="77777777" w:rsidR="00FF3564" w:rsidRDefault="00FF3564" w:rsidP="00FF3564">
      <w:pPr>
        <w:pStyle w:val="ListParagraph"/>
        <w:numPr>
          <w:ilvl w:val="0"/>
          <w:numId w:val="39"/>
        </w:numPr>
        <w:spacing w:before="200"/>
        <w:rPr>
          <w:rFonts w:ascii="Arial" w:hAnsi="Arial" w:cs="Arial"/>
          <w:sz w:val="20"/>
        </w:rPr>
      </w:pPr>
      <w:r>
        <w:rPr>
          <w:rFonts w:ascii="Arial" w:hAnsi="Arial" w:cs="Arial"/>
          <w:sz w:val="20"/>
        </w:rPr>
        <w:t xml:space="preserve">The builder has 30 days after the date the Repair Warranty Form is submitted (from July 26, 2017 to August 25, 2017) to make further repairs or otherwise resolve the issue.  </w:t>
      </w:r>
    </w:p>
    <w:p w14:paraId="7A850AFE" w14:textId="77777777" w:rsidR="00FF3564" w:rsidRPr="000A6ABE" w:rsidRDefault="00FF3564" w:rsidP="00FF3564">
      <w:pPr>
        <w:pStyle w:val="ListParagraph"/>
        <w:rPr>
          <w:rFonts w:ascii="Arial" w:hAnsi="Arial" w:cs="Arial"/>
          <w:sz w:val="20"/>
        </w:rPr>
      </w:pPr>
    </w:p>
    <w:p w14:paraId="5D03B15A" w14:textId="77777777" w:rsidR="00FF3564" w:rsidRDefault="00FF3564" w:rsidP="00FF3564">
      <w:pPr>
        <w:pStyle w:val="ListParagraph"/>
        <w:numPr>
          <w:ilvl w:val="0"/>
          <w:numId w:val="39"/>
        </w:numPr>
        <w:spacing w:before="200"/>
        <w:rPr>
          <w:rFonts w:ascii="Arial" w:hAnsi="Arial" w:cs="Arial"/>
          <w:sz w:val="20"/>
        </w:rPr>
      </w:pPr>
      <w:r>
        <w:rPr>
          <w:rFonts w:ascii="Arial" w:hAnsi="Arial" w:cs="Arial"/>
          <w:sz w:val="20"/>
        </w:rPr>
        <w:t>If the homeowner is not satisfied with the builder’s attempts, they may request a conciliation at any time in the 30-day period that begins on August 26, 2017 and ends on September 25, 2017.</w:t>
      </w:r>
    </w:p>
    <w:p w14:paraId="71B7A5EE" w14:textId="77777777" w:rsidR="00FF3564" w:rsidRPr="000A6ABE" w:rsidRDefault="00FF3564" w:rsidP="00FF3564">
      <w:pPr>
        <w:pStyle w:val="ListParagraph"/>
        <w:rPr>
          <w:rFonts w:ascii="Arial" w:hAnsi="Arial" w:cs="Arial"/>
          <w:sz w:val="20"/>
        </w:rPr>
      </w:pPr>
    </w:p>
    <w:p w14:paraId="2D658C4E" w14:textId="77777777" w:rsidR="00FF3564" w:rsidRPr="000A6ABE" w:rsidRDefault="00FF3564" w:rsidP="00FF3564">
      <w:pPr>
        <w:pStyle w:val="ListParagraph"/>
        <w:numPr>
          <w:ilvl w:val="0"/>
          <w:numId w:val="39"/>
        </w:numPr>
        <w:spacing w:before="200"/>
        <w:rPr>
          <w:rFonts w:ascii="Arial" w:hAnsi="Arial" w:cs="Arial"/>
          <w:sz w:val="20"/>
        </w:rPr>
      </w:pPr>
      <w:r>
        <w:rPr>
          <w:rFonts w:ascii="Arial" w:hAnsi="Arial" w:cs="Arial"/>
          <w:sz w:val="20"/>
        </w:rPr>
        <w:t>If a conciliation is requested, Tarion will schedule it with the homeowner and invite the builder.  If the claim item(s) is warranted, Tarion will proceed to settle the claim with the homeowner and invoice the builder for the cost(s), plus an administrative fee of 15% and applicable taxes.</w:t>
      </w:r>
    </w:p>
    <w:p w14:paraId="0D726C51" w14:textId="498ADCEB" w:rsidR="00F77EE1" w:rsidRDefault="00F77EE1">
      <w:pPr>
        <w:rPr>
          <w:rFonts w:cs="Arial"/>
          <w:lang w:bidi="en-US"/>
        </w:rPr>
      </w:pPr>
      <w:r>
        <w:rPr>
          <w:rFonts w:cs="Arial"/>
          <w:lang w:bidi="en-US"/>
        </w:rPr>
        <w:br w:type="page"/>
      </w:r>
    </w:p>
    <w:p w14:paraId="283D35D1" w14:textId="314CE319" w:rsidR="00F77EE1" w:rsidRPr="00F77EE1" w:rsidRDefault="00F77EE1" w:rsidP="00F77EE1">
      <w:pPr>
        <w:pStyle w:val="Tarion-ReportHeading1"/>
        <w:spacing w:before="120" w:after="120"/>
        <w:jc w:val="center"/>
        <w:rPr>
          <w:bCs w:val="0"/>
          <w:sz w:val="24"/>
        </w:rPr>
      </w:pPr>
      <w:r w:rsidRPr="00F77EE1">
        <w:rPr>
          <w:bCs w:val="0"/>
          <w:sz w:val="24"/>
        </w:rPr>
        <w:t>Appendix A</w:t>
      </w:r>
    </w:p>
    <w:p w14:paraId="5BA703E2" w14:textId="3AB739AF" w:rsidR="00F77EE1" w:rsidRDefault="00F77EE1" w:rsidP="00F77EE1">
      <w:pPr>
        <w:pStyle w:val="Tarion-ReportHeading1"/>
        <w:spacing w:before="120" w:after="120"/>
        <w:jc w:val="center"/>
        <w:rPr>
          <w:bCs w:val="0"/>
          <w:sz w:val="24"/>
        </w:rPr>
      </w:pPr>
      <w:r w:rsidRPr="00F77EE1">
        <w:rPr>
          <w:bCs w:val="0"/>
          <w:sz w:val="24"/>
        </w:rPr>
        <w:t>Sample Repair Tracking Form</w:t>
      </w:r>
    </w:p>
    <w:p w14:paraId="1372CC84" w14:textId="65C10663" w:rsidR="00235A87" w:rsidRPr="00235A87" w:rsidRDefault="00235A87" w:rsidP="00235A87">
      <w:pPr>
        <w:pStyle w:val="Tarion-ReportHeading1"/>
        <w:spacing w:before="120" w:after="120"/>
        <w:rPr>
          <w:b w:val="0"/>
          <w:bCs w:val="0"/>
          <w:i/>
          <w:sz w:val="20"/>
          <w:szCs w:val="20"/>
        </w:rPr>
      </w:pPr>
      <w:r w:rsidRPr="00235A87">
        <w:rPr>
          <w:b w:val="0"/>
          <w:bCs w:val="0"/>
          <w:i/>
          <w:sz w:val="20"/>
          <w:szCs w:val="20"/>
        </w:rPr>
        <w:t xml:space="preserve">Note: </w:t>
      </w:r>
      <w:r>
        <w:rPr>
          <w:b w:val="0"/>
          <w:bCs w:val="0"/>
          <w:i/>
          <w:sz w:val="20"/>
          <w:szCs w:val="20"/>
        </w:rPr>
        <w:t>T</w:t>
      </w:r>
      <w:r w:rsidRPr="00235A87">
        <w:rPr>
          <w:b w:val="0"/>
          <w:bCs w:val="0"/>
          <w:i/>
          <w:sz w:val="20"/>
          <w:szCs w:val="20"/>
        </w:rPr>
        <w:t xml:space="preserve">his is </w:t>
      </w:r>
      <w:r>
        <w:rPr>
          <w:b w:val="0"/>
          <w:bCs w:val="0"/>
          <w:i/>
          <w:sz w:val="20"/>
          <w:szCs w:val="20"/>
        </w:rPr>
        <w:t xml:space="preserve">only </w:t>
      </w:r>
      <w:r w:rsidRPr="00235A87">
        <w:rPr>
          <w:b w:val="0"/>
          <w:bCs w:val="0"/>
          <w:i/>
          <w:sz w:val="20"/>
          <w:szCs w:val="20"/>
        </w:rPr>
        <w:t>a sample form</w:t>
      </w:r>
      <w:r>
        <w:rPr>
          <w:b w:val="0"/>
          <w:bCs w:val="0"/>
          <w:i/>
          <w:sz w:val="20"/>
          <w:szCs w:val="20"/>
        </w:rPr>
        <w:t xml:space="preserve"> and is not mandatory</w:t>
      </w:r>
      <w:r w:rsidRPr="00235A87">
        <w:rPr>
          <w:b w:val="0"/>
          <w:bCs w:val="0"/>
          <w:i/>
          <w:sz w:val="20"/>
          <w:szCs w:val="20"/>
        </w:rPr>
        <w:t xml:space="preserve">.  </w:t>
      </w:r>
      <w:r w:rsidRPr="00235A87">
        <w:rPr>
          <w:b w:val="0"/>
          <w:i/>
          <w:sz w:val="20"/>
          <w:szCs w:val="20"/>
        </w:rPr>
        <w:t>The builder’s tracking method may include confirmation emails to homeowners, written documentation, tracking software, the Performance Audit Tracking Site (PATS) or other reliable and accurate methods.</w:t>
      </w:r>
    </w:p>
    <w:p w14:paraId="6F49F3C4" w14:textId="77777777" w:rsidR="00FF3564" w:rsidRDefault="00FF3564" w:rsidP="000620AC">
      <w:pPr>
        <w:rPr>
          <w:rFonts w:cs="Arial"/>
          <w:lang w:bidi="en-US"/>
        </w:rPr>
      </w:pPr>
    </w:p>
    <w:p w14:paraId="30F01DB4" w14:textId="77777777" w:rsidR="00F77EE1" w:rsidRPr="00F77EE1" w:rsidRDefault="00F77EE1" w:rsidP="00F77EE1">
      <w:pPr>
        <w:rPr>
          <w:rFonts w:cs="Arial"/>
          <w:lang w:bidi="en-US"/>
        </w:rPr>
      </w:pPr>
      <w:r w:rsidRPr="00F77EE1">
        <w:rPr>
          <w:rFonts w:cs="Arial"/>
          <w:lang w:bidi="en-US"/>
        </w:rPr>
        <w:t>Home Enrolment Number: __________________   Statutory Warranty Form Type: _________________</w:t>
      </w:r>
      <w:r w:rsidRPr="00F77EE1">
        <w:rPr>
          <w:rFonts w:cs="Arial"/>
          <w:lang w:bidi="en-US"/>
        </w:rPr>
        <w:softHyphen/>
      </w:r>
      <w:r w:rsidRPr="00F77EE1">
        <w:rPr>
          <w:rFonts w:cs="Arial"/>
          <w:lang w:bidi="en-US"/>
        </w:rPr>
        <w:softHyphen/>
      </w:r>
      <w:r w:rsidRPr="00F77EE1">
        <w:rPr>
          <w:rFonts w:cs="Arial"/>
          <w:lang w:bidi="en-US"/>
        </w:rPr>
        <w:softHyphen/>
      </w:r>
      <w:r w:rsidRPr="00F77EE1">
        <w:rPr>
          <w:rFonts w:cs="Arial"/>
          <w:lang w:bidi="en-US"/>
        </w:rPr>
        <w:softHyphen/>
        <w:t xml:space="preserve">_____ </w:t>
      </w:r>
    </w:p>
    <w:p w14:paraId="06B03D37" w14:textId="77777777" w:rsidR="00F77EE1" w:rsidRPr="00F77EE1" w:rsidRDefault="00F77EE1" w:rsidP="00F77EE1">
      <w:pPr>
        <w:rPr>
          <w:rFonts w:cs="Arial"/>
          <w:lang w:bidi="en-US"/>
        </w:rPr>
      </w:pPr>
    </w:p>
    <w:p w14:paraId="32290AA6" w14:textId="77777777" w:rsidR="00F77EE1" w:rsidRPr="00F77EE1" w:rsidRDefault="00F77EE1" w:rsidP="00F77EE1">
      <w:pPr>
        <w:rPr>
          <w:rFonts w:cs="Arial"/>
          <w:lang w:bidi="en-US"/>
        </w:rPr>
      </w:pPr>
      <w:r w:rsidRPr="00F77EE1">
        <w:rPr>
          <w:rFonts w:cs="Arial"/>
          <w:lang w:bidi="en-US"/>
        </w:rPr>
        <w:t>Case Number:  ___________________________</w:t>
      </w:r>
    </w:p>
    <w:p w14:paraId="5286B403" w14:textId="77777777" w:rsidR="00F77EE1" w:rsidRDefault="00F77EE1" w:rsidP="000620AC">
      <w:pPr>
        <w:rPr>
          <w:rFonts w:cs="Arial"/>
          <w:lang w:bidi="en-US"/>
        </w:rPr>
      </w:pPr>
    </w:p>
    <w:tbl>
      <w:tblPr>
        <w:tblStyle w:val="TableGrid"/>
        <w:tblW w:w="10070" w:type="dxa"/>
        <w:tblLook w:val="04A0" w:firstRow="1" w:lastRow="0" w:firstColumn="1" w:lastColumn="0" w:noHBand="0" w:noVBand="1"/>
      </w:tblPr>
      <w:tblGrid>
        <w:gridCol w:w="1218"/>
        <w:gridCol w:w="1855"/>
        <w:gridCol w:w="5112"/>
        <w:gridCol w:w="1885"/>
      </w:tblGrid>
      <w:tr w:rsidR="00F77EE1" w:rsidRPr="00B81AF6" w14:paraId="3548287F" w14:textId="77777777" w:rsidTr="0084767B">
        <w:tc>
          <w:tcPr>
            <w:tcW w:w="1218" w:type="dxa"/>
          </w:tcPr>
          <w:p w14:paraId="65E1AFDE" w14:textId="77777777" w:rsidR="00F77EE1" w:rsidRDefault="00F77EE1" w:rsidP="0084767B">
            <w:pPr>
              <w:spacing w:before="120" w:after="120"/>
              <w:ind w:right="142"/>
              <w:jc w:val="both"/>
              <w:rPr>
                <w:rFonts w:cs="Arial"/>
              </w:rPr>
            </w:pPr>
            <w:r w:rsidRPr="00B81AF6">
              <w:rPr>
                <w:rFonts w:cs="Arial"/>
              </w:rPr>
              <w:t xml:space="preserve">Item # </w:t>
            </w:r>
          </w:p>
          <w:p w14:paraId="1E24C75E" w14:textId="77777777" w:rsidR="00F77EE1" w:rsidRPr="00B81AF6" w:rsidRDefault="00F77EE1" w:rsidP="0084767B">
            <w:pPr>
              <w:spacing w:before="120" w:after="120"/>
              <w:ind w:right="142"/>
              <w:jc w:val="both"/>
              <w:rPr>
                <w:rFonts w:cs="Arial"/>
              </w:rPr>
            </w:pPr>
            <w:r w:rsidRPr="00B81AF6">
              <w:rPr>
                <w:rFonts w:cs="Arial"/>
              </w:rPr>
              <w:t xml:space="preserve">(from </w:t>
            </w:r>
            <w:r>
              <w:rPr>
                <w:rFonts w:cs="Arial"/>
              </w:rPr>
              <w:t>statutory warranty form</w:t>
            </w:r>
            <w:r w:rsidRPr="00B81AF6">
              <w:rPr>
                <w:rFonts w:cs="Arial"/>
              </w:rPr>
              <w:t>)</w:t>
            </w:r>
          </w:p>
        </w:tc>
        <w:tc>
          <w:tcPr>
            <w:tcW w:w="1855" w:type="dxa"/>
          </w:tcPr>
          <w:p w14:paraId="04013453" w14:textId="77777777" w:rsidR="00F77EE1" w:rsidRPr="00B81AF6" w:rsidRDefault="00F77EE1" w:rsidP="0084767B">
            <w:pPr>
              <w:spacing w:before="120" w:after="120"/>
              <w:ind w:right="142"/>
              <w:jc w:val="both"/>
              <w:rPr>
                <w:rFonts w:cs="Arial"/>
              </w:rPr>
            </w:pPr>
            <w:r w:rsidRPr="00B81AF6">
              <w:rPr>
                <w:rFonts w:cs="Arial"/>
              </w:rPr>
              <w:t>Date of repair</w:t>
            </w:r>
          </w:p>
        </w:tc>
        <w:tc>
          <w:tcPr>
            <w:tcW w:w="5112" w:type="dxa"/>
          </w:tcPr>
          <w:p w14:paraId="3D40F918" w14:textId="77777777" w:rsidR="00F77EE1" w:rsidRPr="00B81AF6" w:rsidRDefault="00F77EE1" w:rsidP="0084767B">
            <w:pPr>
              <w:spacing w:before="120" w:after="120"/>
              <w:ind w:right="142"/>
              <w:jc w:val="both"/>
              <w:rPr>
                <w:rFonts w:cs="Arial"/>
              </w:rPr>
            </w:pPr>
            <w:r w:rsidRPr="00B81AF6">
              <w:rPr>
                <w:rFonts w:cs="Arial"/>
              </w:rPr>
              <w:t>Description of repair</w:t>
            </w:r>
          </w:p>
        </w:tc>
        <w:tc>
          <w:tcPr>
            <w:tcW w:w="1885" w:type="dxa"/>
          </w:tcPr>
          <w:p w14:paraId="00A0D641" w14:textId="77777777" w:rsidR="00F77EE1" w:rsidRPr="00B81AF6" w:rsidRDefault="00F77EE1" w:rsidP="0084767B">
            <w:pPr>
              <w:spacing w:before="120" w:after="120"/>
              <w:ind w:right="142"/>
              <w:jc w:val="both"/>
              <w:rPr>
                <w:rFonts w:cs="Arial"/>
              </w:rPr>
            </w:pPr>
            <w:r w:rsidRPr="00B81AF6">
              <w:rPr>
                <w:rFonts w:cs="Arial"/>
              </w:rPr>
              <w:t>Homeowner initial</w:t>
            </w:r>
            <w:r>
              <w:rPr>
                <w:rStyle w:val="FootnoteReference"/>
                <w:rFonts w:cs="Arial"/>
              </w:rPr>
              <w:footnoteReference w:id="5"/>
            </w:r>
            <w:r w:rsidRPr="00B81AF6">
              <w:rPr>
                <w:rFonts w:cs="Arial"/>
              </w:rPr>
              <w:t xml:space="preserve"> </w:t>
            </w:r>
          </w:p>
        </w:tc>
      </w:tr>
      <w:tr w:rsidR="00F77EE1" w:rsidRPr="00644504" w14:paraId="638188A7" w14:textId="77777777" w:rsidTr="0084767B">
        <w:tc>
          <w:tcPr>
            <w:tcW w:w="1218" w:type="dxa"/>
          </w:tcPr>
          <w:p w14:paraId="2C466269" w14:textId="77777777" w:rsidR="00F77EE1" w:rsidRPr="00644504" w:rsidRDefault="00F77EE1" w:rsidP="0084767B">
            <w:pPr>
              <w:spacing w:before="120" w:after="120"/>
              <w:ind w:right="-218"/>
              <w:jc w:val="both"/>
              <w:rPr>
                <w:rFonts w:ascii="Garamond" w:hAnsi="Garamond" w:cs="Arial"/>
              </w:rPr>
            </w:pPr>
          </w:p>
        </w:tc>
        <w:tc>
          <w:tcPr>
            <w:tcW w:w="1855" w:type="dxa"/>
          </w:tcPr>
          <w:p w14:paraId="233A260F" w14:textId="77777777" w:rsidR="00F77EE1" w:rsidRPr="00644504" w:rsidRDefault="00F77EE1" w:rsidP="0084767B">
            <w:pPr>
              <w:spacing w:before="120" w:after="120"/>
              <w:ind w:right="-218"/>
              <w:jc w:val="both"/>
              <w:rPr>
                <w:rFonts w:ascii="Garamond" w:hAnsi="Garamond" w:cs="Arial"/>
              </w:rPr>
            </w:pPr>
          </w:p>
        </w:tc>
        <w:tc>
          <w:tcPr>
            <w:tcW w:w="5112" w:type="dxa"/>
          </w:tcPr>
          <w:p w14:paraId="08D2C95C" w14:textId="77777777" w:rsidR="00F77EE1" w:rsidRPr="00644504" w:rsidRDefault="00F77EE1" w:rsidP="0084767B">
            <w:pPr>
              <w:spacing w:before="120" w:after="120"/>
              <w:ind w:right="-218"/>
              <w:jc w:val="both"/>
              <w:rPr>
                <w:rFonts w:ascii="Garamond" w:hAnsi="Garamond" w:cs="Arial"/>
              </w:rPr>
            </w:pPr>
          </w:p>
        </w:tc>
        <w:tc>
          <w:tcPr>
            <w:tcW w:w="1885" w:type="dxa"/>
          </w:tcPr>
          <w:p w14:paraId="19837739" w14:textId="77777777" w:rsidR="00F77EE1" w:rsidRPr="00644504" w:rsidRDefault="00F77EE1" w:rsidP="0084767B">
            <w:pPr>
              <w:spacing w:before="120" w:after="120"/>
              <w:ind w:right="-218"/>
              <w:jc w:val="both"/>
              <w:rPr>
                <w:rFonts w:ascii="Garamond" w:hAnsi="Garamond" w:cs="Arial"/>
              </w:rPr>
            </w:pPr>
          </w:p>
        </w:tc>
      </w:tr>
      <w:tr w:rsidR="00F77EE1" w:rsidRPr="00644504" w14:paraId="064CC9F4" w14:textId="77777777" w:rsidTr="0084767B">
        <w:tc>
          <w:tcPr>
            <w:tcW w:w="1218" w:type="dxa"/>
          </w:tcPr>
          <w:p w14:paraId="7B646709" w14:textId="77777777" w:rsidR="00F77EE1" w:rsidRPr="00644504" w:rsidRDefault="00F77EE1" w:rsidP="0084767B">
            <w:pPr>
              <w:spacing w:before="120" w:after="120"/>
              <w:ind w:right="-218"/>
              <w:jc w:val="both"/>
              <w:rPr>
                <w:rFonts w:ascii="Garamond" w:hAnsi="Garamond" w:cs="Arial"/>
              </w:rPr>
            </w:pPr>
          </w:p>
        </w:tc>
        <w:tc>
          <w:tcPr>
            <w:tcW w:w="1855" w:type="dxa"/>
          </w:tcPr>
          <w:p w14:paraId="55D1D03C" w14:textId="77777777" w:rsidR="00F77EE1" w:rsidRPr="00644504" w:rsidRDefault="00F77EE1" w:rsidP="0084767B">
            <w:pPr>
              <w:spacing w:before="120" w:after="120"/>
              <w:ind w:right="-218"/>
              <w:jc w:val="both"/>
              <w:rPr>
                <w:rFonts w:ascii="Garamond" w:hAnsi="Garamond" w:cs="Arial"/>
              </w:rPr>
            </w:pPr>
          </w:p>
        </w:tc>
        <w:tc>
          <w:tcPr>
            <w:tcW w:w="5112" w:type="dxa"/>
          </w:tcPr>
          <w:p w14:paraId="6D2E7353" w14:textId="77777777" w:rsidR="00F77EE1" w:rsidRPr="00644504" w:rsidRDefault="00F77EE1" w:rsidP="0084767B">
            <w:pPr>
              <w:spacing w:before="120" w:after="120"/>
              <w:ind w:right="-218"/>
              <w:jc w:val="both"/>
              <w:rPr>
                <w:rFonts w:ascii="Garamond" w:hAnsi="Garamond" w:cs="Arial"/>
              </w:rPr>
            </w:pPr>
          </w:p>
        </w:tc>
        <w:tc>
          <w:tcPr>
            <w:tcW w:w="1885" w:type="dxa"/>
          </w:tcPr>
          <w:p w14:paraId="2A0B15B7" w14:textId="77777777" w:rsidR="00F77EE1" w:rsidRPr="00644504" w:rsidRDefault="00F77EE1" w:rsidP="0084767B">
            <w:pPr>
              <w:spacing w:before="120" w:after="120"/>
              <w:ind w:right="-218"/>
              <w:jc w:val="both"/>
              <w:rPr>
                <w:rFonts w:ascii="Garamond" w:hAnsi="Garamond" w:cs="Arial"/>
              </w:rPr>
            </w:pPr>
          </w:p>
        </w:tc>
      </w:tr>
      <w:tr w:rsidR="00F77EE1" w:rsidRPr="00644504" w14:paraId="5B93E0AB" w14:textId="77777777" w:rsidTr="0084767B">
        <w:tc>
          <w:tcPr>
            <w:tcW w:w="1218" w:type="dxa"/>
          </w:tcPr>
          <w:p w14:paraId="4AEC3928" w14:textId="77777777" w:rsidR="00F77EE1" w:rsidRPr="00644504" w:rsidRDefault="00F77EE1" w:rsidP="0084767B">
            <w:pPr>
              <w:spacing w:before="120" w:after="120"/>
              <w:ind w:right="-218"/>
              <w:jc w:val="both"/>
              <w:rPr>
                <w:rFonts w:ascii="Garamond" w:hAnsi="Garamond" w:cs="Arial"/>
              </w:rPr>
            </w:pPr>
          </w:p>
        </w:tc>
        <w:tc>
          <w:tcPr>
            <w:tcW w:w="1855" w:type="dxa"/>
          </w:tcPr>
          <w:p w14:paraId="6359911D" w14:textId="77777777" w:rsidR="00F77EE1" w:rsidRPr="00644504" w:rsidRDefault="00F77EE1" w:rsidP="0084767B">
            <w:pPr>
              <w:spacing w:before="120" w:after="120"/>
              <w:ind w:right="-218"/>
              <w:jc w:val="both"/>
              <w:rPr>
                <w:rFonts w:ascii="Garamond" w:hAnsi="Garamond" w:cs="Arial"/>
              </w:rPr>
            </w:pPr>
          </w:p>
        </w:tc>
        <w:tc>
          <w:tcPr>
            <w:tcW w:w="5112" w:type="dxa"/>
          </w:tcPr>
          <w:p w14:paraId="7E2100B7" w14:textId="77777777" w:rsidR="00F77EE1" w:rsidRPr="00644504" w:rsidRDefault="00F77EE1" w:rsidP="0084767B">
            <w:pPr>
              <w:spacing w:before="120" w:after="120"/>
              <w:ind w:right="-218"/>
              <w:jc w:val="both"/>
              <w:rPr>
                <w:rFonts w:ascii="Garamond" w:hAnsi="Garamond" w:cs="Arial"/>
              </w:rPr>
            </w:pPr>
          </w:p>
        </w:tc>
        <w:tc>
          <w:tcPr>
            <w:tcW w:w="1885" w:type="dxa"/>
          </w:tcPr>
          <w:p w14:paraId="53255DFF" w14:textId="77777777" w:rsidR="00F77EE1" w:rsidRPr="00644504" w:rsidRDefault="00F77EE1" w:rsidP="0084767B">
            <w:pPr>
              <w:spacing w:before="120" w:after="120"/>
              <w:ind w:right="-218"/>
              <w:jc w:val="both"/>
              <w:rPr>
                <w:rFonts w:ascii="Garamond" w:hAnsi="Garamond" w:cs="Arial"/>
              </w:rPr>
            </w:pPr>
          </w:p>
        </w:tc>
      </w:tr>
      <w:tr w:rsidR="00F77EE1" w:rsidRPr="00644504" w14:paraId="4D67AC77" w14:textId="77777777" w:rsidTr="0084767B">
        <w:tc>
          <w:tcPr>
            <w:tcW w:w="1218" w:type="dxa"/>
          </w:tcPr>
          <w:p w14:paraId="1A2073FD" w14:textId="77777777" w:rsidR="00F77EE1" w:rsidRPr="00644504" w:rsidRDefault="00F77EE1" w:rsidP="0084767B">
            <w:pPr>
              <w:spacing w:before="120" w:after="120"/>
              <w:ind w:right="-218"/>
              <w:jc w:val="both"/>
              <w:rPr>
                <w:rFonts w:ascii="Garamond" w:hAnsi="Garamond" w:cs="Arial"/>
              </w:rPr>
            </w:pPr>
          </w:p>
        </w:tc>
        <w:tc>
          <w:tcPr>
            <w:tcW w:w="1855" w:type="dxa"/>
          </w:tcPr>
          <w:p w14:paraId="6A0E8308" w14:textId="77777777" w:rsidR="00F77EE1" w:rsidRPr="00644504" w:rsidRDefault="00F77EE1" w:rsidP="0084767B">
            <w:pPr>
              <w:spacing w:before="120" w:after="120"/>
              <w:ind w:right="-218"/>
              <w:jc w:val="both"/>
              <w:rPr>
                <w:rFonts w:ascii="Garamond" w:hAnsi="Garamond" w:cs="Arial"/>
              </w:rPr>
            </w:pPr>
          </w:p>
        </w:tc>
        <w:tc>
          <w:tcPr>
            <w:tcW w:w="5112" w:type="dxa"/>
          </w:tcPr>
          <w:p w14:paraId="49C5A6BE" w14:textId="77777777" w:rsidR="00F77EE1" w:rsidRPr="00644504" w:rsidRDefault="00F77EE1" w:rsidP="0084767B">
            <w:pPr>
              <w:spacing w:before="120" w:after="120"/>
              <w:ind w:right="-218"/>
              <w:jc w:val="both"/>
              <w:rPr>
                <w:rFonts w:ascii="Garamond" w:hAnsi="Garamond" w:cs="Arial"/>
              </w:rPr>
            </w:pPr>
          </w:p>
        </w:tc>
        <w:tc>
          <w:tcPr>
            <w:tcW w:w="1885" w:type="dxa"/>
          </w:tcPr>
          <w:p w14:paraId="3E9AA2E3" w14:textId="77777777" w:rsidR="00F77EE1" w:rsidRPr="00644504" w:rsidRDefault="00F77EE1" w:rsidP="0084767B">
            <w:pPr>
              <w:spacing w:before="120" w:after="120"/>
              <w:ind w:right="-218"/>
              <w:jc w:val="both"/>
              <w:rPr>
                <w:rFonts w:ascii="Garamond" w:hAnsi="Garamond" w:cs="Arial"/>
              </w:rPr>
            </w:pPr>
          </w:p>
        </w:tc>
      </w:tr>
      <w:tr w:rsidR="00F77EE1" w:rsidRPr="00644504" w14:paraId="15A19200" w14:textId="77777777" w:rsidTr="0084767B">
        <w:tc>
          <w:tcPr>
            <w:tcW w:w="1218" w:type="dxa"/>
          </w:tcPr>
          <w:p w14:paraId="1D502E72" w14:textId="77777777" w:rsidR="00F77EE1" w:rsidRPr="00644504" w:rsidRDefault="00F77EE1" w:rsidP="0084767B">
            <w:pPr>
              <w:spacing w:before="120" w:after="120"/>
              <w:ind w:right="-218"/>
              <w:jc w:val="both"/>
              <w:rPr>
                <w:rFonts w:ascii="Garamond" w:hAnsi="Garamond" w:cs="Arial"/>
              </w:rPr>
            </w:pPr>
          </w:p>
        </w:tc>
        <w:tc>
          <w:tcPr>
            <w:tcW w:w="1855" w:type="dxa"/>
          </w:tcPr>
          <w:p w14:paraId="28127D65" w14:textId="77777777" w:rsidR="00F77EE1" w:rsidRPr="00644504" w:rsidRDefault="00F77EE1" w:rsidP="0084767B">
            <w:pPr>
              <w:spacing w:before="120" w:after="120"/>
              <w:ind w:right="-218"/>
              <w:jc w:val="both"/>
              <w:rPr>
                <w:rFonts w:ascii="Garamond" w:hAnsi="Garamond" w:cs="Arial"/>
              </w:rPr>
            </w:pPr>
          </w:p>
        </w:tc>
        <w:tc>
          <w:tcPr>
            <w:tcW w:w="5112" w:type="dxa"/>
          </w:tcPr>
          <w:p w14:paraId="68614516" w14:textId="77777777" w:rsidR="00F77EE1" w:rsidRPr="00644504" w:rsidRDefault="00F77EE1" w:rsidP="0084767B">
            <w:pPr>
              <w:spacing w:before="120" w:after="120"/>
              <w:ind w:right="-218"/>
              <w:jc w:val="both"/>
              <w:rPr>
                <w:rFonts w:ascii="Garamond" w:hAnsi="Garamond" w:cs="Arial"/>
              </w:rPr>
            </w:pPr>
          </w:p>
        </w:tc>
        <w:tc>
          <w:tcPr>
            <w:tcW w:w="1885" w:type="dxa"/>
          </w:tcPr>
          <w:p w14:paraId="76A43C13" w14:textId="77777777" w:rsidR="00F77EE1" w:rsidRPr="00644504" w:rsidRDefault="00F77EE1" w:rsidP="0084767B">
            <w:pPr>
              <w:spacing w:before="120" w:after="120"/>
              <w:ind w:right="-218"/>
              <w:jc w:val="both"/>
              <w:rPr>
                <w:rFonts w:ascii="Garamond" w:hAnsi="Garamond" w:cs="Arial"/>
              </w:rPr>
            </w:pPr>
          </w:p>
        </w:tc>
      </w:tr>
      <w:tr w:rsidR="00F77EE1" w:rsidRPr="00644504" w14:paraId="6B4BD1A3" w14:textId="77777777" w:rsidTr="0084767B">
        <w:tc>
          <w:tcPr>
            <w:tcW w:w="1218" w:type="dxa"/>
          </w:tcPr>
          <w:p w14:paraId="726ACF75" w14:textId="77777777" w:rsidR="00F77EE1" w:rsidRPr="00644504" w:rsidRDefault="00F77EE1" w:rsidP="0084767B">
            <w:pPr>
              <w:spacing w:before="120" w:after="120"/>
              <w:ind w:right="-218"/>
              <w:jc w:val="both"/>
              <w:rPr>
                <w:rFonts w:ascii="Garamond" w:hAnsi="Garamond" w:cs="Arial"/>
              </w:rPr>
            </w:pPr>
          </w:p>
        </w:tc>
        <w:tc>
          <w:tcPr>
            <w:tcW w:w="1855" w:type="dxa"/>
          </w:tcPr>
          <w:p w14:paraId="06A5A3F5" w14:textId="77777777" w:rsidR="00F77EE1" w:rsidRPr="00644504" w:rsidRDefault="00F77EE1" w:rsidP="0084767B">
            <w:pPr>
              <w:spacing w:before="120" w:after="120"/>
              <w:ind w:right="-218"/>
              <w:jc w:val="both"/>
              <w:rPr>
                <w:rFonts w:ascii="Garamond" w:hAnsi="Garamond" w:cs="Arial"/>
              </w:rPr>
            </w:pPr>
          </w:p>
        </w:tc>
        <w:tc>
          <w:tcPr>
            <w:tcW w:w="5112" w:type="dxa"/>
          </w:tcPr>
          <w:p w14:paraId="1B8FA993" w14:textId="77777777" w:rsidR="00F77EE1" w:rsidRPr="00644504" w:rsidRDefault="00F77EE1" w:rsidP="0084767B">
            <w:pPr>
              <w:spacing w:before="120" w:after="120"/>
              <w:ind w:right="-218"/>
              <w:jc w:val="both"/>
              <w:rPr>
                <w:rFonts w:ascii="Garamond" w:hAnsi="Garamond" w:cs="Arial"/>
              </w:rPr>
            </w:pPr>
          </w:p>
        </w:tc>
        <w:tc>
          <w:tcPr>
            <w:tcW w:w="1885" w:type="dxa"/>
          </w:tcPr>
          <w:p w14:paraId="71692F63" w14:textId="77777777" w:rsidR="00F77EE1" w:rsidRPr="00644504" w:rsidRDefault="00F77EE1" w:rsidP="0084767B">
            <w:pPr>
              <w:spacing w:before="120" w:after="120"/>
              <w:ind w:right="-218"/>
              <w:jc w:val="both"/>
              <w:rPr>
                <w:rFonts w:ascii="Garamond" w:hAnsi="Garamond" w:cs="Arial"/>
              </w:rPr>
            </w:pPr>
          </w:p>
        </w:tc>
      </w:tr>
      <w:tr w:rsidR="00F77EE1" w:rsidRPr="00644504" w14:paraId="048D7C1E" w14:textId="77777777" w:rsidTr="0084767B">
        <w:tc>
          <w:tcPr>
            <w:tcW w:w="1218" w:type="dxa"/>
          </w:tcPr>
          <w:p w14:paraId="14977CC4" w14:textId="77777777" w:rsidR="00F77EE1" w:rsidRPr="00644504" w:rsidRDefault="00F77EE1" w:rsidP="0084767B">
            <w:pPr>
              <w:spacing w:before="120" w:after="120"/>
              <w:ind w:right="-218"/>
              <w:jc w:val="both"/>
              <w:rPr>
                <w:rFonts w:ascii="Garamond" w:hAnsi="Garamond" w:cs="Arial"/>
              </w:rPr>
            </w:pPr>
          </w:p>
        </w:tc>
        <w:tc>
          <w:tcPr>
            <w:tcW w:w="1855" w:type="dxa"/>
          </w:tcPr>
          <w:p w14:paraId="129A2739" w14:textId="77777777" w:rsidR="00F77EE1" w:rsidRPr="00644504" w:rsidRDefault="00F77EE1" w:rsidP="0084767B">
            <w:pPr>
              <w:spacing w:before="120" w:after="120"/>
              <w:ind w:right="-218"/>
              <w:jc w:val="both"/>
              <w:rPr>
                <w:rFonts w:ascii="Garamond" w:hAnsi="Garamond" w:cs="Arial"/>
              </w:rPr>
            </w:pPr>
          </w:p>
        </w:tc>
        <w:tc>
          <w:tcPr>
            <w:tcW w:w="5112" w:type="dxa"/>
          </w:tcPr>
          <w:p w14:paraId="3EDF7C24" w14:textId="77777777" w:rsidR="00F77EE1" w:rsidRPr="00644504" w:rsidRDefault="00F77EE1" w:rsidP="0084767B">
            <w:pPr>
              <w:spacing w:before="120" w:after="120"/>
              <w:ind w:right="-218"/>
              <w:jc w:val="both"/>
              <w:rPr>
                <w:rFonts w:ascii="Garamond" w:hAnsi="Garamond" w:cs="Arial"/>
              </w:rPr>
            </w:pPr>
          </w:p>
        </w:tc>
        <w:tc>
          <w:tcPr>
            <w:tcW w:w="1885" w:type="dxa"/>
          </w:tcPr>
          <w:p w14:paraId="1EAA4107" w14:textId="77777777" w:rsidR="00F77EE1" w:rsidRPr="00644504" w:rsidRDefault="00F77EE1" w:rsidP="0084767B">
            <w:pPr>
              <w:spacing w:before="120" w:after="120"/>
              <w:ind w:right="-218"/>
              <w:jc w:val="both"/>
              <w:rPr>
                <w:rFonts w:ascii="Garamond" w:hAnsi="Garamond" w:cs="Arial"/>
              </w:rPr>
            </w:pPr>
          </w:p>
        </w:tc>
      </w:tr>
      <w:tr w:rsidR="00F77EE1" w:rsidRPr="00644504" w14:paraId="40B734CF" w14:textId="77777777" w:rsidTr="0084767B">
        <w:tc>
          <w:tcPr>
            <w:tcW w:w="1218" w:type="dxa"/>
          </w:tcPr>
          <w:p w14:paraId="42DF44D1" w14:textId="77777777" w:rsidR="00F77EE1" w:rsidRPr="00644504" w:rsidRDefault="00F77EE1" w:rsidP="0084767B">
            <w:pPr>
              <w:spacing w:before="120" w:after="120"/>
              <w:ind w:right="-218"/>
              <w:jc w:val="both"/>
              <w:rPr>
                <w:rFonts w:ascii="Garamond" w:hAnsi="Garamond" w:cs="Arial"/>
              </w:rPr>
            </w:pPr>
          </w:p>
        </w:tc>
        <w:tc>
          <w:tcPr>
            <w:tcW w:w="1855" w:type="dxa"/>
          </w:tcPr>
          <w:p w14:paraId="0A5FEF6E" w14:textId="77777777" w:rsidR="00F77EE1" w:rsidRPr="00644504" w:rsidRDefault="00F77EE1" w:rsidP="0084767B">
            <w:pPr>
              <w:spacing w:before="120" w:after="120"/>
              <w:ind w:right="-218"/>
              <w:jc w:val="both"/>
              <w:rPr>
                <w:rFonts w:ascii="Garamond" w:hAnsi="Garamond" w:cs="Arial"/>
              </w:rPr>
            </w:pPr>
          </w:p>
        </w:tc>
        <w:tc>
          <w:tcPr>
            <w:tcW w:w="5112" w:type="dxa"/>
          </w:tcPr>
          <w:p w14:paraId="1D70F8D9" w14:textId="77777777" w:rsidR="00F77EE1" w:rsidRPr="00644504" w:rsidRDefault="00F77EE1" w:rsidP="0084767B">
            <w:pPr>
              <w:spacing w:before="120" w:after="120"/>
              <w:ind w:right="-218"/>
              <w:jc w:val="both"/>
              <w:rPr>
                <w:rFonts w:ascii="Garamond" w:hAnsi="Garamond" w:cs="Arial"/>
              </w:rPr>
            </w:pPr>
          </w:p>
        </w:tc>
        <w:tc>
          <w:tcPr>
            <w:tcW w:w="1885" w:type="dxa"/>
          </w:tcPr>
          <w:p w14:paraId="120764EB" w14:textId="77777777" w:rsidR="00F77EE1" w:rsidRPr="00644504" w:rsidRDefault="00F77EE1" w:rsidP="0084767B">
            <w:pPr>
              <w:spacing w:before="120" w:after="120"/>
              <w:ind w:right="-218"/>
              <w:jc w:val="both"/>
              <w:rPr>
                <w:rFonts w:ascii="Garamond" w:hAnsi="Garamond" w:cs="Arial"/>
              </w:rPr>
            </w:pPr>
          </w:p>
        </w:tc>
      </w:tr>
      <w:tr w:rsidR="00F77EE1" w:rsidRPr="00644504" w14:paraId="441F7A70" w14:textId="77777777" w:rsidTr="0084767B">
        <w:tc>
          <w:tcPr>
            <w:tcW w:w="1218" w:type="dxa"/>
          </w:tcPr>
          <w:p w14:paraId="4F71ADD5" w14:textId="77777777" w:rsidR="00F77EE1" w:rsidRPr="00644504" w:rsidRDefault="00F77EE1" w:rsidP="0084767B">
            <w:pPr>
              <w:spacing w:before="120" w:after="120"/>
              <w:ind w:right="-218"/>
              <w:jc w:val="both"/>
              <w:rPr>
                <w:rFonts w:ascii="Garamond" w:hAnsi="Garamond" w:cs="Arial"/>
              </w:rPr>
            </w:pPr>
          </w:p>
        </w:tc>
        <w:tc>
          <w:tcPr>
            <w:tcW w:w="1855" w:type="dxa"/>
          </w:tcPr>
          <w:p w14:paraId="5726ACE7" w14:textId="77777777" w:rsidR="00F77EE1" w:rsidRPr="00644504" w:rsidRDefault="00F77EE1" w:rsidP="0084767B">
            <w:pPr>
              <w:spacing w:before="120" w:after="120"/>
              <w:ind w:right="-218"/>
              <w:jc w:val="both"/>
              <w:rPr>
                <w:rFonts w:ascii="Garamond" w:hAnsi="Garamond" w:cs="Arial"/>
              </w:rPr>
            </w:pPr>
          </w:p>
        </w:tc>
        <w:tc>
          <w:tcPr>
            <w:tcW w:w="5112" w:type="dxa"/>
          </w:tcPr>
          <w:p w14:paraId="01C402AC" w14:textId="77777777" w:rsidR="00F77EE1" w:rsidRPr="00644504" w:rsidRDefault="00F77EE1" w:rsidP="0084767B">
            <w:pPr>
              <w:spacing w:before="120" w:after="120"/>
              <w:ind w:right="-218"/>
              <w:jc w:val="both"/>
              <w:rPr>
                <w:rFonts w:ascii="Garamond" w:hAnsi="Garamond" w:cs="Arial"/>
              </w:rPr>
            </w:pPr>
          </w:p>
        </w:tc>
        <w:tc>
          <w:tcPr>
            <w:tcW w:w="1885" w:type="dxa"/>
          </w:tcPr>
          <w:p w14:paraId="57A73169" w14:textId="77777777" w:rsidR="00F77EE1" w:rsidRPr="00644504" w:rsidRDefault="00F77EE1" w:rsidP="0084767B">
            <w:pPr>
              <w:spacing w:before="120" w:after="120"/>
              <w:ind w:right="-218"/>
              <w:jc w:val="both"/>
              <w:rPr>
                <w:rFonts w:ascii="Garamond" w:hAnsi="Garamond" w:cs="Arial"/>
              </w:rPr>
            </w:pPr>
          </w:p>
        </w:tc>
      </w:tr>
      <w:tr w:rsidR="00F77EE1" w:rsidRPr="00644504" w14:paraId="364DBC4D" w14:textId="77777777" w:rsidTr="0084767B">
        <w:tc>
          <w:tcPr>
            <w:tcW w:w="1218" w:type="dxa"/>
          </w:tcPr>
          <w:p w14:paraId="06A8FDBF" w14:textId="77777777" w:rsidR="00F77EE1" w:rsidRPr="00644504" w:rsidRDefault="00F77EE1" w:rsidP="0084767B">
            <w:pPr>
              <w:spacing w:before="120" w:after="120"/>
              <w:ind w:right="-218"/>
              <w:jc w:val="both"/>
              <w:rPr>
                <w:rFonts w:ascii="Garamond" w:hAnsi="Garamond" w:cs="Arial"/>
              </w:rPr>
            </w:pPr>
          </w:p>
        </w:tc>
        <w:tc>
          <w:tcPr>
            <w:tcW w:w="1855" w:type="dxa"/>
          </w:tcPr>
          <w:p w14:paraId="1C1B40CF" w14:textId="77777777" w:rsidR="00F77EE1" w:rsidRPr="00644504" w:rsidRDefault="00F77EE1" w:rsidP="0084767B">
            <w:pPr>
              <w:spacing w:before="120" w:after="120"/>
              <w:ind w:right="-218"/>
              <w:jc w:val="both"/>
              <w:rPr>
                <w:rFonts w:ascii="Garamond" w:hAnsi="Garamond" w:cs="Arial"/>
              </w:rPr>
            </w:pPr>
          </w:p>
        </w:tc>
        <w:tc>
          <w:tcPr>
            <w:tcW w:w="5112" w:type="dxa"/>
          </w:tcPr>
          <w:p w14:paraId="5C92166C" w14:textId="77777777" w:rsidR="00F77EE1" w:rsidRPr="00644504" w:rsidRDefault="00F77EE1" w:rsidP="0084767B">
            <w:pPr>
              <w:spacing w:before="120" w:after="120"/>
              <w:ind w:right="-218"/>
              <w:jc w:val="both"/>
              <w:rPr>
                <w:rFonts w:ascii="Garamond" w:hAnsi="Garamond" w:cs="Arial"/>
              </w:rPr>
            </w:pPr>
          </w:p>
        </w:tc>
        <w:tc>
          <w:tcPr>
            <w:tcW w:w="1885" w:type="dxa"/>
          </w:tcPr>
          <w:p w14:paraId="6B73032D" w14:textId="77777777" w:rsidR="00F77EE1" w:rsidRPr="00644504" w:rsidRDefault="00F77EE1" w:rsidP="0084767B">
            <w:pPr>
              <w:spacing w:before="120" w:after="120"/>
              <w:ind w:right="-218"/>
              <w:jc w:val="both"/>
              <w:rPr>
                <w:rFonts w:ascii="Garamond" w:hAnsi="Garamond" w:cs="Arial"/>
              </w:rPr>
            </w:pPr>
          </w:p>
        </w:tc>
      </w:tr>
    </w:tbl>
    <w:p w14:paraId="281C381A" w14:textId="77777777" w:rsidR="00F77EE1" w:rsidRDefault="00F77EE1" w:rsidP="000620AC">
      <w:pPr>
        <w:rPr>
          <w:rFonts w:cs="Arial"/>
          <w:lang w:bidi="en-US"/>
        </w:rPr>
      </w:pPr>
    </w:p>
    <w:p w14:paraId="453CB4F8" w14:textId="44F768AF" w:rsidR="00CB5377" w:rsidRDefault="00CB5377">
      <w:pPr>
        <w:rPr>
          <w:rFonts w:cs="Arial"/>
          <w:lang w:bidi="en-US"/>
        </w:rPr>
      </w:pPr>
      <w:r>
        <w:rPr>
          <w:rFonts w:cs="Arial"/>
          <w:lang w:bidi="en-US"/>
        </w:rPr>
        <w:br w:type="page"/>
      </w:r>
    </w:p>
    <w:p w14:paraId="18C9BB83" w14:textId="76B1A021" w:rsidR="00CB5377" w:rsidRPr="00F77EE1" w:rsidRDefault="00CB5377" w:rsidP="00CB5377">
      <w:pPr>
        <w:pStyle w:val="Tarion-ReportHeading1"/>
        <w:spacing w:before="120" w:after="120"/>
        <w:jc w:val="center"/>
        <w:rPr>
          <w:bCs w:val="0"/>
          <w:sz w:val="24"/>
        </w:rPr>
      </w:pPr>
      <w:r w:rsidRPr="00F77EE1">
        <w:rPr>
          <w:bCs w:val="0"/>
          <w:sz w:val="24"/>
        </w:rPr>
        <w:t xml:space="preserve">Appendix </w:t>
      </w:r>
      <w:r>
        <w:rPr>
          <w:bCs w:val="0"/>
          <w:sz w:val="24"/>
        </w:rPr>
        <w:t>B</w:t>
      </w:r>
    </w:p>
    <w:p w14:paraId="6277CC33" w14:textId="4A5419A3" w:rsidR="00CB5377" w:rsidRDefault="00CB5377" w:rsidP="00CB5377">
      <w:pPr>
        <w:jc w:val="center"/>
        <w:rPr>
          <w:rFonts w:cs="Arial"/>
          <w:b/>
          <w:color w:val="00396C"/>
          <w:sz w:val="24"/>
          <w:szCs w:val="32"/>
          <w:lang w:bidi="en-US"/>
        </w:rPr>
      </w:pPr>
      <w:r w:rsidRPr="00CB5377">
        <w:rPr>
          <w:rFonts w:cs="Arial"/>
          <w:b/>
          <w:color w:val="00396C"/>
          <w:sz w:val="24"/>
          <w:szCs w:val="32"/>
          <w:lang w:bidi="en-US"/>
        </w:rPr>
        <w:t>Repair Agreement – Freehold/Condo Unit</w:t>
      </w:r>
    </w:p>
    <w:p w14:paraId="17685922" w14:textId="77777777" w:rsidR="00CB5377" w:rsidRDefault="00CB5377" w:rsidP="00CB5377">
      <w:pPr>
        <w:jc w:val="center"/>
        <w:rPr>
          <w:rFonts w:cs="Arial"/>
          <w:b/>
          <w:color w:val="00396C"/>
          <w:sz w:val="24"/>
          <w:szCs w:val="32"/>
          <w:lang w:bidi="en-US"/>
        </w:rPr>
      </w:pPr>
    </w:p>
    <w:p w14:paraId="79B54CF9" w14:textId="77777777" w:rsidR="00CB5377" w:rsidRDefault="00CB5377" w:rsidP="00CB5377">
      <w:pPr>
        <w:ind w:right="-218"/>
        <w:jc w:val="both"/>
        <w:rPr>
          <w:rFonts w:cs="Arial"/>
          <w:b/>
        </w:rPr>
      </w:pPr>
    </w:p>
    <w:p w14:paraId="3B56E133" w14:textId="77777777" w:rsidR="00CB5377" w:rsidRDefault="00CB5377" w:rsidP="00CB5377">
      <w:pPr>
        <w:ind w:right="-218"/>
        <w:jc w:val="both"/>
        <w:rPr>
          <w:rFonts w:cs="Arial"/>
          <w:b/>
        </w:rPr>
      </w:pPr>
    </w:p>
    <w:p w14:paraId="0F0A2BEF" w14:textId="77777777" w:rsidR="00CB5377" w:rsidRDefault="00CB5377" w:rsidP="00CB5377">
      <w:pPr>
        <w:ind w:right="-218"/>
        <w:jc w:val="both"/>
        <w:rPr>
          <w:rFonts w:cs="Arial"/>
          <w:b/>
        </w:rPr>
      </w:pPr>
    </w:p>
    <w:p w14:paraId="14443177" w14:textId="77777777" w:rsidR="00CB5377" w:rsidRPr="00B81AF6" w:rsidRDefault="00CB5377" w:rsidP="00CB5377">
      <w:pPr>
        <w:ind w:right="-218"/>
        <w:jc w:val="both"/>
        <w:rPr>
          <w:rFonts w:cs="Arial"/>
        </w:rPr>
      </w:pPr>
      <w:r w:rsidRPr="00B81AF6">
        <w:rPr>
          <w:rFonts w:cs="Arial"/>
          <w:b/>
        </w:rPr>
        <w:t>Between:</w:t>
      </w:r>
      <w:r w:rsidRPr="00B81AF6">
        <w:rPr>
          <w:rFonts w:cs="Arial"/>
        </w:rPr>
        <w:t xml:space="preserve">  __________________________________________ (the “</w:t>
      </w:r>
      <w:r>
        <w:rPr>
          <w:rFonts w:cs="Arial"/>
        </w:rPr>
        <w:t>B</w:t>
      </w:r>
      <w:r w:rsidRPr="00B81AF6">
        <w:rPr>
          <w:rFonts w:cs="Arial"/>
        </w:rPr>
        <w:t>uilder”)</w:t>
      </w:r>
    </w:p>
    <w:p w14:paraId="172A5A34" w14:textId="77777777" w:rsidR="00CB5377" w:rsidRPr="00B81AF6" w:rsidRDefault="00CB5377" w:rsidP="00CB5377">
      <w:pPr>
        <w:ind w:right="-218"/>
        <w:jc w:val="both"/>
        <w:rPr>
          <w:rFonts w:cs="Arial"/>
        </w:rPr>
      </w:pPr>
    </w:p>
    <w:p w14:paraId="4ED34AAA" w14:textId="77777777" w:rsidR="00CB5377" w:rsidRDefault="00CB5377" w:rsidP="00CB5377">
      <w:pPr>
        <w:ind w:right="-218"/>
        <w:jc w:val="both"/>
        <w:rPr>
          <w:rFonts w:cs="Arial"/>
          <w:b/>
        </w:rPr>
      </w:pPr>
    </w:p>
    <w:p w14:paraId="1AE44A6E" w14:textId="77777777" w:rsidR="00CB5377" w:rsidRPr="00B81AF6" w:rsidRDefault="00CB5377" w:rsidP="00CB5377">
      <w:pPr>
        <w:ind w:right="-218"/>
        <w:jc w:val="both"/>
        <w:rPr>
          <w:rFonts w:cs="Arial"/>
        </w:rPr>
      </w:pPr>
      <w:r w:rsidRPr="00B81AF6">
        <w:rPr>
          <w:rFonts w:cs="Arial"/>
          <w:b/>
        </w:rPr>
        <w:t>And:</w:t>
      </w:r>
      <w:r w:rsidRPr="00B81AF6">
        <w:rPr>
          <w:rFonts w:cs="Arial"/>
        </w:rPr>
        <w:t xml:space="preserve">          __________________</w:t>
      </w:r>
      <w:r>
        <w:rPr>
          <w:rFonts w:cs="Arial"/>
        </w:rPr>
        <w:t>________________________ (the “Homeo</w:t>
      </w:r>
      <w:r w:rsidRPr="00B81AF6">
        <w:rPr>
          <w:rFonts w:cs="Arial"/>
        </w:rPr>
        <w:t>wner”)</w:t>
      </w:r>
    </w:p>
    <w:p w14:paraId="43081C4D" w14:textId="77777777" w:rsidR="00CB5377" w:rsidRPr="00B81AF6" w:rsidRDefault="00CB5377" w:rsidP="00CB5377">
      <w:pPr>
        <w:ind w:right="-218"/>
        <w:jc w:val="both"/>
        <w:rPr>
          <w:rFonts w:cs="Arial"/>
        </w:rPr>
      </w:pPr>
    </w:p>
    <w:p w14:paraId="2932949C" w14:textId="77777777" w:rsidR="00CB5377" w:rsidRDefault="00CB5377" w:rsidP="00CB5377">
      <w:pPr>
        <w:ind w:right="-218"/>
        <w:jc w:val="both"/>
        <w:rPr>
          <w:rFonts w:cs="Arial"/>
          <w:b/>
        </w:rPr>
      </w:pPr>
    </w:p>
    <w:p w14:paraId="147BE7F6" w14:textId="77777777" w:rsidR="00CB5377" w:rsidRPr="00B81AF6" w:rsidRDefault="00CB5377" w:rsidP="00CB5377">
      <w:pPr>
        <w:ind w:right="-218"/>
        <w:jc w:val="both"/>
        <w:rPr>
          <w:rFonts w:cs="Arial"/>
        </w:rPr>
      </w:pPr>
      <w:r w:rsidRPr="00B81AF6">
        <w:rPr>
          <w:rFonts w:cs="Arial"/>
          <w:b/>
        </w:rPr>
        <w:t>RE:</w:t>
      </w:r>
      <w:r w:rsidRPr="00B81AF6">
        <w:rPr>
          <w:rFonts w:cs="Arial"/>
        </w:rPr>
        <w:t xml:space="preserve">           </w:t>
      </w:r>
      <w:r>
        <w:rPr>
          <w:rFonts w:cs="Arial"/>
        </w:rPr>
        <w:t xml:space="preserve"> __</w:t>
      </w:r>
      <w:r w:rsidRPr="00B81AF6">
        <w:rPr>
          <w:rFonts w:cs="Arial"/>
        </w:rPr>
        <w:t>__________________</w:t>
      </w:r>
      <w:r>
        <w:rPr>
          <w:rFonts w:cs="Arial"/>
        </w:rPr>
        <w:t>________________________ [home address]</w:t>
      </w:r>
    </w:p>
    <w:p w14:paraId="707E8030" w14:textId="77777777" w:rsidR="00CB5377" w:rsidRPr="00B81AF6" w:rsidRDefault="00CB5377" w:rsidP="00CB5377">
      <w:pPr>
        <w:ind w:right="-218"/>
        <w:jc w:val="both"/>
        <w:rPr>
          <w:rFonts w:cs="Arial"/>
        </w:rPr>
      </w:pPr>
    </w:p>
    <w:p w14:paraId="400897A4" w14:textId="77777777" w:rsidR="00CB5377" w:rsidRPr="00B81AF6" w:rsidRDefault="00CB5377" w:rsidP="00CB5377">
      <w:pPr>
        <w:ind w:right="-218"/>
        <w:jc w:val="both"/>
        <w:rPr>
          <w:rFonts w:cs="Arial"/>
        </w:rPr>
      </w:pPr>
    </w:p>
    <w:p w14:paraId="24AE3F21" w14:textId="77777777" w:rsidR="00CB5377" w:rsidRDefault="00CB5377" w:rsidP="00CB5377">
      <w:pPr>
        <w:ind w:right="142"/>
        <w:jc w:val="both"/>
        <w:rPr>
          <w:rFonts w:cs="Arial"/>
        </w:rPr>
      </w:pPr>
      <w:r>
        <w:rPr>
          <w:rFonts w:cs="Arial"/>
        </w:rPr>
        <w:t xml:space="preserve">The parties agree to allow the Builder more time to make repairs to/resolve certain items on the following terms and conditions:  </w:t>
      </w:r>
    </w:p>
    <w:p w14:paraId="4BB89294" w14:textId="77777777" w:rsidR="00CB5377" w:rsidRPr="00B81AF6" w:rsidRDefault="00CB5377" w:rsidP="00CB5377">
      <w:pPr>
        <w:ind w:right="142"/>
        <w:jc w:val="both"/>
        <w:rPr>
          <w:rFonts w:cs="Arial"/>
        </w:rPr>
      </w:pPr>
    </w:p>
    <w:p w14:paraId="02DC1D73" w14:textId="77777777" w:rsidR="00CB5377" w:rsidRPr="00B81AF6" w:rsidRDefault="00CB5377" w:rsidP="00CB5377">
      <w:pPr>
        <w:pStyle w:val="ListParagraph"/>
        <w:numPr>
          <w:ilvl w:val="0"/>
          <w:numId w:val="40"/>
        </w:numPr>
        <w:spacing w:after="0" w:line="240" w:lineRule="auto"/>
        <w:ind w:right="142"/>
        <w:jc w:val="both"/>
        <w:rPr>
          <w:rFonts w:ascii="Arial" w:hAnsi="Arial" w:cs="Arial"/>
          <w:sz w:val="20"/>
        </w:rPr>
      </w:pPr>
      <w:r w:rsidRPr="00B81AF6">
        <w:rPr>
          <w:rFonts w:ascii="Arial" w:hAnsi="Arial" w:cs="Arial"/>
          <w:sz w:val="20"/>
        </w:rPr>
        <w:t xml:space="preserve">The </w:t>
      </w:r>
      <w:r>
        <w:rPr>
          <w:rFonts w:ascii="Arial" w:hAnsi="Arial" w:cs="Arial"/>
          <w:sz w:val="20"/>
        </w:rPr>
        <w:t>Homeo</w:t>
      </w:r>
      <w:r w:rsidRPr="00B81AF6">
        <w:rPr>
          <w:rFonts w:ascii="Arial" w:hAnsi="Arial" w:cs="Arial"/>
          <w:sz w:val="20"/>
        </w:rPr>
        <w:t>wner has submitted a</w:t>
      </w:r>
      <w:r>
        <w:rPr>
          <w:rFonts w:ascii="Arial" w:hAnsi="Arial" w:cs="Arial"/>
          <w:sz w:val="20"/>
        </w:rPr>
        <w:t xml:space="preserve"> </w:t>
      </w:r>
      <w:r w:rsidRPr="00923BA8">
        <w:rPr>
          <w:rFonts w:ascii="Arial" w:hAnsi="Arial" w:cs="Arial"/>
          <w:sz w:val="20"/>
        </w:rPr>
        <w:t>______________</w:t>
      </w:r>
      <w:r>
        <w:rPr>
          <w:rFonts w:ascii="Arial" w:hAnsi="Arial" w:cs="Arial"/>
          <w:sz w:val="20"/>
        </w:rPr>
        <w:t>___________</w:t>
      </w:r>
      <w:r w:rsidRPr="00923BA8">
        <w:rPr>
          <w:rFonts w:ascii="Arial" w:hAnsi="Arial" w:cs="Arial"/>
          <w:sz w:val="20"/>
        </w:rPr>
        <w:t>________________</w:t>
      </w:r>
      <w:r w:rsidRPr="00B81AF6">
        <w:rPr>
          <w:rFonts w:ascii="Arial" w:hAnsi="Arial" w:cs="Arial"/>
          <w:sz w:val="20"/>
        </w:rPr>
        <w:t xml:space="preserve"> </w:t>
      </w:r>
      <w:r w:rsidRPr="00B81AF6">
        <w:rPr>
          <w:rFonts w:ascii="Arial" w:hAnsi="Arial" w:cs="Arial"/>
          <w:b/>
          <w:sz w:val="20"/>
        </w:rPr>
        <w:t xml:space="preserve">[specify form] </w:t>
      </w:r>
      <w:r>
        <w:rPr>
          <w:rFonts w:ascii="Arial" w:hAnsi="Arial" w:cs="Arial"/>
          <w:sz w:val="20"/>
        </w:rPr>
        <w:t xml:space="preserve">on ______________________ </w:t>
      </w:r>
      <w:r>
        <w:rPr>
          <w:rFonts w:ascii="Arial" w:hAnsi="Arial" w:cs="Arial"/>
          <w:b/>
          <w:sz w:val="20"/>
        </w:rPr>
        <w:t xml:space="preserve">[specify date] </w:t>
      </w:r>
      <w:r w:rsidRPr="00B81AF6">
        <w:rPr>
          <w:rFonts w:ascii="Arial" w:hAnsi="Arial" w:cs="Arial"/>
          <w:sz w:val="20"/>
        </w:rPr>
        <w:t>(the “</w:t>
      </w:r>
      <w:r>
        <w:rPr>
          <w:rFonts w:ascii="Arial" w:hAnsi="Arial" w:cs="Arial"/>
          <w:sz w:val="20"/>
        </w:rPr>
        <w:t>Statutory Warranty Form</w:t>
      </w:r>
      <w:r w:rsidRPr="00B81AF6">
        <w:rPr>
          <w:rFonts w:ascii="Arial" w:hAnsi="Arial" w:cs="Arial"/>
          <w:sz w:val="20"/>
        </w:rPr>
        <w:t>”) to Tarion Warranty Corporation (“Tarion”).</w:t>
      </w:r>
    </w:p>
    <w:p w14:paraId="5162648C" w14:textId="77777777" w:rsidR="00CB5377" w:rsidRPr="00B81AF6" w:rsidRDefault="00CB5377" w:rsidP="00CB5377">
      <w:pPr>
        <w:ind w:right="142"/>
        <w:jc w:val="both"/>
        <w:rPr>
          <w:rFonts w:cs="Arial"/>
        </w:rPr>
      </w:pPr>
    </w:p>
    <w:p w14:paraId="46B8294D" w14:textId="77777777" w:rsidR="00CB5377" w:rsidRPr="00B81AF6" w:rsidRDefault="00CB5377" w:rsidP="00CB5377">
      <w:pPr>
        <w:pStyle w:val="ListParagraph"/>
        <w:numPr>
          <w:ilvl w:val="0"/>
          <w:numId w:val="40"/>
        </w:numPr>
        <w:spacing w:after="0" w:line="240" w:lineRule="auto"/>
        <w:ind w:right="142"/>
        <w:jc w:val="both"/>
        <w:rPr>
          <w:rFonts w:ascii="Arial" w:hAnsi="Arial" w:cs="Arial"/>
          <w:sz w:val="20"/>
          <w:u w:val="single"/>
        </w:rPr>
      </w:pPr>
      <w:r w:rsidRPr="00B81AF6">
        <w:rPr>
          <w:rFonts w:ascii="Arial" w:hAnsi="Arial" w:cs="Arial"/>
          <w:sz w:val="20"/>
        </w:rPr>
        <w:t xml:space="preserve">The items listed in Schedule “A” to this agreement (the “Outstanding Items”), were </w:t>
      </w:r>
      <w:r>
        <w:rPr>
          <w:rFonts w:ascii="Arial" w:hAnsi="Arial" w:cs="Arial"/>
          <w:sz w:val="20"/>
        </w:rPr>
        <w:t>listed</w:t>
      </w:r>
      <w:r w:rsidRPr="00B81AF6">
        <w:rPr>
          <w:rFonts w:ascii="Arial" w:hAnsi="Arial" w:cs="Arial"/>
          <w:sz w:val="20"/>
        </w:rPr>
        <w:t xml:space="preserve"> </w:t>
      </w:r>
      <w:r>
        <w:rPr>
          <w:rFonts w:ascii="Arial" w:hAnsi="Arial" w:cs="Arial"/>
          <w:sz w:val="20"/>
        </w:rPr>
        <w:t>o</w:t>
      </w:r>
      <w:r w:rsidRPr="00B81AF6">
        <w:rPr>
          <w:rFonts w:ascii="Arial" w:hAnsi="Arial" w:cs="Arial"/>
          <w:sz w:val="20"/>
        </w:rPr>
        <w:t xml:space="preserve">n the </w:t>
      </w:r>
      <w:r>
        <w:rPr>
          <w:rFonts w:ascii="Arial" w:hAnsi="Arial" w:cs="Arial"/>
          <w:sz w:val="20"/>
        </w:rPr>
        <w:t>Statutory Warranty Form</w:t>
      </w:r>
      <w:r w:rsidRPr="00B81AF6">
        <w:rPr>
          <w:rFonts w:ascii="Arial" w:hAnsi="Arial" w:cs="Arial"/>
          <w:sz w:val="20"/>
        </w:rPr>
        <w:t xml:space="preserve"> and have not yet been resolved.  The </w:t>
      </w:r>
      <w:r>
        <w:rPr>
          <w:rFonts w:ascii="Arial" w:hAnsi="Arial" w:cs="Arial"/>
          <w:sz w:val="20"/>
        </w:rPr>
        <w:t>B</w:t>
      </w:r>
      <w:r w:rsidRPr="00B81AF6">
        <w:rPr>
          <w:rFonts w:ascii="Arial" w:hAnsi="Arial" w:cs="Arial"/>
          <w:sz w:val="20"/>
        </w:rPr>
        <w:t xml:space="preserve">uilder has agreed to repair or resolve the Outstanding Items by the Repair Deadline </w:t>
      </w:r>
      <w:r>
        <w:rPr>
          <w:rFonts w:ascii="Arial" w:hAnsi="Arial" w:cs="Arial"/>
          <w:sz w:val="20"/>
        </w:rPr>
        <w:t xml:space="preserve">of ______________________ </w:t>
      </w:r>
      <w:r>
        <w:rPr>
          <w:rFonts w:ascii="Arial" w:hAnsi="Arial" w:cs="Arial"/>
          <w:b/>
          <w:sz w:val="20"/>
        </w:rPr>
        <w:t>[specify date]</w:t>
      </w:r>
      <w:r w:rsidRPr="00B81AF6">
        <w:rPr>
          <w:rFonts w:ascii="Arial" w:hAnsi="Arial" w:cs="Arial"/>
          <w:sz w:val="20"/>
        </w:rPr>
        <w:t xml:space="preserve">.  </w:t>
      </w:r>
    </w:p>
    <w:p w14:paraId="221542AB" w14:textId="77777777" w:rsidR="00CB5377" w:rsidRPr="00B81AF6" w:rsidRDefault="00CB5377" w:rsidP="00CB5377">
      <w:pPr>
        <w:pStyle w:val="ListParagraph"/>
        <w:ind w:right="142"/>
        <w:jc w:val="both"/>
        <w:rPr>
          <w:rFonts w:ascii="Arial" w:hAnsi="Arial" w:cs="Arial"/>
          <w:sz w:val="20"/>
        </w:rPr>
      </w:pPr>
    </w:p>
    <w:p w14:paraId="24AB6FD7" w14:textId="77777777" w:rsidR="00CB5377" w:rsidRPr="00257447" w:rsidRDefault="00CB5377" w:rsidP="00CB5377">
      <w:pPr>
        <w:pStyle w:val="ListParagraph"/>
        <w:numPr>
          <w:ilvl w:val="0"/>
          <w:numId w:val="40"/>
        </w:numPr>
        <w:spacing w:after="0" w:line="240" w:lineRule="auto"/>
        <w:ind w:right="142"/>
        <w:jc w:val="both"/>
        <w:rPr>
          <w:rFonts w:ascii="Arial" w:hAnsi="Arial" w:cs="Arial"/>
          <w:sz w:val="20"/>
        </w:rPr>
      </w:pPr>
      <w:r>
        <w:rPr>
          <w:rFonts w:ascii="Arial" w:hAnsi="Arial" w:cs="Arial"/>
          <w:sz w:val="20"/>
        </w:rPr>
        <w:t xml:space="preserve">If the Repair Deadline passes and the Homeowner is not satisfied with the Builder’s efforts, the Homeowner can request a conciliation on any/all of the Outstanding Items, so long as that request is made to Tarion </w:t>
      </w:r>
      <w:r w:rsidRPr="00B81AF6">
        <w:rPr>
          <w:rFonts w:ascii="Arial" w:hAnsi="Arial" w:cs="Arial"/>
          <w:sz w:val="20"/>
        </w:rPr>
        <w:t>w</w:t>
      </w:r>
      <w:r>
        <w:rPr>
          <w:rFonts w:ascii="Arial" w:hAnsi="Arial" w:cs="Arial"/>
          <w:sz w:val="20"/>
        </w:rPr>
        <w:t>ithin</w:t>
      </w:r>
      <w:r w:rsidRPr="00B81AF6">
        <w:rPr>
          <w:rFonts w:ascii="Arial" w:hAnsi="Arial" w:cs="Arial"/>
          <w:sz w:val="20"/>
        </w:rPr>
        <w:t xml:space="preserve"> 30 days after the Repair Deadline</w:t>
      </w:r>
      <w:r>
        <w:rPr>
          <w:rFonts w:ascii="Arial" w:hAnsi="Arial" w:cs="Arial"/>
          <w:sz w:val="20"/>
        </w:rPr>
        <w:t xml:space="preserve"> –</w:t>
      </w:r>
      <w:r w:rsidRPr="00257447">
        <w:rPr>
          <w:rFonts w:ascii="Arial" w:hAnsi="Arial" w:cs="Arial"/>
          <w:sz w:val="20"/>
        </w:rPr>
        <w:t xml:space="preserve"> i.e., between ______________________ </w:t>
      </w:r>
      <w:r w:rsidRPr="00257447">
        <w:rPr>
          <w:rFonts w:ascii="Arial" w:hAnsi="Arial" w:cs="Arial"/>
          <w:b/>
          <w:sz w:val="20"/>
        </w:rPr>
        <w:t>[date]</w:t>
      </w:r>
      <w:r w:rsidRPr="00257447">
        <w:rPr>
          <w:rFonts w:ascii="Arial" w:hAnsi="Arial" w:cs="Arial"/>
          <w:sz w:val="20"/>
        </w:rPr>
        <w:t xml:space="preserve"> and __________________________ </w:t>
      </w:r>
      <w:r w:rsidRPr="00257447">
        <w:rPr>
          <w:rFonts w:ascii="Arial" w:hAnsi="Arial" w:cs="Arial"/>
          <w:b/>
          <w:sz w:val="20"/>
        </w:rPr>
        <w:t>[date]</w:t>
      </w:r>
      <w:r w:rsidRPr="00257447">
        <w:rPr>
          <w:rFonts w:ascii="Arial" w:hAnsi="Arial" w:cs="Arial"/>
          <w:sz w:val="20"/>
        </w:rPr>
        <w:t xml:space="preserve"> (the “Conciliation Request </w:t>
      </w:r>
      <w:r>
        <w:rPr>
          <w:rFonts w:ascii="Arial" w:hAnsi="Arial" w:cs="Arial"/>
          <w:sz w:val="20"/>
        </w:rPr>
        <w:t>Timeframe</w:t>
      </w:r>
      <w:r w:rsidRPr="00257447">
        <w:rPr>
          <w:rFonts w:ascii="Arial" w:hAnsi="Arial" w:cs="Arial"/>
          <w:sz w:val="20"/>
        </w:rPr>
        <w:t>”).</w:t>
      </w:r>
    </w:p>
    <w:p w14:paraId="5FEE5D26" w14:textId="77777777" w:rsidR="00CB5377" w:rsidRPr="00B81AF6" w:rsidRDefault="00CB5377" w:rsidP="00CB5377">
      <w:pPr>
        <w:pStyle w:val="ListParagraph"/>
        <w:ind w:right="142"/>
        <w:jc w:val="both"/>
        <w:rPr>
          <w:rFonts w:ascii="Arial" w:hAnsi="Arial" w:cs="Arial"/>
          <w:sz w:val="20"/>
        </w:rPr>
      </w:pPr>
    </w:p>
    <w:p w14:paraId="56787709" w14:textId="77777777" w:rsidR="00CB5377" w:rsidRDefault="00CB5377" w:rsidP="00CB5377">
      <w:pPr>
        <w:pStyle w:val="ListParagraph"/>
        <w:numPr>
          <w:ilvl w:val="0"/>
          <w:numId w:val="40"/>
        </w:numPr>
        <w:spacing w:after="0" w:line="240" w:lineRule="auto"/>
        <w:ind w:right="142"/>
        <w:jc w:val="both"/>
        <w:rPr>
          <w:rFonts w:ascii="Arial" w:hAnsi="Arial" w:cs="Arial"/>
          <w:sz w:val="20"/>
        </w:rPr>
      </w:pPr>
      <w:r w:rsidRPr="00B81AF6">
        <w:rPr>
          <w:rFonts w:ascii="Arial" w:hAnsi="Arial" w:cs="Arial"/>
          <w:sz w:val="20"/>
        </w:rPr>
        <w:t xml:space="preserve">If the </w:t>
      </w:r>
      <w:r>
        <w:rPr>
          <w:rFonts w:ascii="Arial" w:hAnsi="Arial" w:cs="Arial"/>
          <w:sz w:val="20"/>
        </w:rPr>
        <w:t>Homeow</w:t>
      </w:r>
      <w:r w:rsidRPr="00B81AF6">
        <w:rPr>
          <w:rFonts w:ascii="Arial" w:hAnsi="Arial" w:cs="Arial"/>
          <w:sz w:val="20"/>
        </w:rPr>
        <w:t xml:space="preserve">ner does not contact Tarion </w:t>
      </w:r>
      <w:r>
        <w:rPr>
          <w:rFonts w:ascii="Arial" w:hAnsi="Arial" w:cs="Arial"/>
          <w:sz w:val="20"/>
        </w:rPr>
        <w:t>within</w:t>
      </w:r>
      <w:r w:rsidRPr="00B81AF6">
        <w:rPr>
          <w:rFonts w:ascii="Arial" w:hAnsi="Arial" w:cs="Arial"/>
          <w:sz w:val="20"/>
        </w:rPr>
        <w:t xml:space="preserve"> the Conciliation Request </w:t>
      </w:r>
      <w:r>
        <w:rPr>
          <w:rFonts w:ascii="Arial" w:hAnsi="Arial" w:cs="Arial"/>
          <w:sz w:val="20"/>
        </w:rPr>
        <w:t>Timefram</w:t>
      </w:r>
      <w:r w:rsidRPr="00B81AF6">
        <w:rPr>
          <w:rFonts w:ascii="Arial" w:hAnsi="Arial" w:cs="Arial"/>
          <w:sz w:val="20"/>
        </w:rPr>
        <w:t xml:space="preserve">e to request a conciliation, the </w:t>
      </w:r>
      <w:r>
        <w:rPr>
          <w:rFonts w:ascii="Arial" w:hAnsi="Arial" w:cs="Arial"/>
          <w:sz w:val="20"/>
        </w:rPr>
        <w:t>Homeo</w:t>
      </w:r>
      <w:r w:rsidRPr="00B81AF6">
        <w:rPr>
          <w:rFonts w:ascii="Arial" w:hAnsi="Arial" w:cs="Arial"/>
          <w:sz w:val="20"/>
        </w:rPr>
        <w:t xml:space="preserve">wner will be </w:t>
      </w:r>
      <w:r w:rsidRPr="00B81AF6">
        <w:rPr>
          <w:rFonts w:ascii="Arial" w:hAnsi="Arial" w:cs="Arial"/>
          <w:sz w:val="20"/>
          <w:u w:val="single"/>
        </w:rPr>
        <w:t>deemed to have withdrawn</w:t>
      </w:r>
      <w:r w:rsidRPr="00B81AF6">
        <w:rPr>
          <w:rFonts w:ascii="Arial" w:hAnsi="Arial" w:cs="Arial"/>
          <w:sz w:val="20"/>
        </w:rPr>
        <w:t xml:space="preserve"> all warranty claims for the Outstanding Items, (i.e., the </w:t>
      </w:r>
      <w:r>
        <w:rPr>
          <w:rFonts w:ascii="Arial" w:hAnsi="Arial" w:cs="Arial"/>
          <w:sz w:val="20"/>
        </w:rPr>
        <w:t xml:space="preserve">statutory </w:t>
      </w:r>
      <w:r w:rsidRPr="00B81AF6">
        <w:rPr>
          <w:rFonts w:ascii="Arial" w:hAnsi="Arial" w:cs="Arial"/>
          <w:sz w:val="20"/>
        </w:rPr>
        <w:t xml:space="preserve">warranties </w:t>
      </w:r>
      <w:r w:rsidRPr="00175E2C">
        <w:rPr>
          <w:rFonts w:ascii="Arial" w:hAnsi="Arial" w:cs="Arial"/>
          <w:sz w:val="20"/>
          <w:u w:val="single"/>
        </w:rPr>
        <w:t>will no longer apply</w:t>
      </w:r>
      <w:r w:rsidRPr="00B81AF6">
        <w:rPr>
          <w:rFonts w:ascii="Arial" w:hAnsi="Arial" w:cs="Arial"/>
          <w:sz w:val="20"/>
        </w:rPr>
        <w:t xml:space="preserve"> to the Outstanding Items).   </w:t>
      </w:r>
    </w:p>
    <w:p w14:paraId="4515E96D" w14:textId="77777777" w:rsidR="00CB5377" w:rsidRPr="00CB5377" w:rsidRDefault="00CB5377" w:rsidP="00CB5377">
      <w:pPr>
        <w:ind w:right="142"/>
        <w:jc w:val="both"/>
        <w:rPr>
          <w:rFonts w:cs="Arial"/>
        </w:rPr>
      </w:pPr>
    </w:p>
    <w:p w14:paraId="6421F2C6" w14:textId="77777777" w:rsidR="00CB5377" w:rsidRPr="00B81AF6" w:rsidRDefault="00CB5377" w:rsidP="00CB5377">
      <w:pPr>
        <w:pStyle w:val="ListParagraph"/>
        <w:numPr>
          <w:ilvl w:val="0"/>
          <w:numId w:val="40"/>
        </w:numPr>
        <w:spacing w:after="0" w:line="240" w:lineRule="auto"/>
        <w:ind w:right="142"/>
        <w:jc w:val="both"/>
        <w:rPr>
          <w:rFonts w:ascii="Arial" w:hAnsi="Arial" w:cs="Arial"/>
          <w:sz w:val="20"/>
        </w:rPr>
      </w:pPr>
      <w:r w:rsidRPr="00B81AF6">
        <w:rPr>
          <w:rFonts w:ascii="Arial" w:hAnsi="Arial" w:cs="Arial"/>
          <w:sz w:val="20"/>
        </w:rPr>
        <w:t>This agreement to extend the time to repair or resolve the Outstanding Items:</w:t>
      </w:r>
    </w:p>
    <w:p w14:paraId="056B73F8" w14:textId="77777777" w:rsidR="00CB5377" w:rsidRPr="00B81AF6" w:rsidRDefault="00CB5377" w:rsidP="00CB5377">
      <w:pPr>
        <w:pStyle w:val="ListParagraph"/>
        <w:ind w:right="142"/>
        <w:jc w:val="both"/>
        <w:rPr>
          <w:rFonts w:ascii="Arial" w:hAnsi="Arial" w:cs="Arial"/>
          <w:sz w:val="20"/>
        </w:rPr>
      </w:pPr>
    </w:p>
    <w:p w14:paraId="19303BCE" w14:textId="5375AC37" w:rsidR="00CB5377" w:rsidRPr="00CB5377" w:rsidRDefault="00CB5377" w:rsidP="0084767B">
      <w:pPr>
        <w:pStyle w:val="ListParagraph"/>
        <w:numPr>
          <w:ilvl w:val="0"/>
          <w:numId w:val="41"/>
        </w:numPr>
        <w:spacing w:after="0" w:line="240" w:lineRule="auto"/>
        <w:ind w:right="142"/>
        <w:contextualSpacing w:val="0"/>
        <w:jc w:val="both"/>
        <w:rPr>
          <w:rFonts w:cs="Arial"/>
          <w:lang w:bidi="en-US"/>
        </w:rPr>
      </w:pPr>
      <w:r w:rsidRPr="00CB5377">
        <w:rPr>
          <w:rFonts w:ascii="Arial" w:hAnsi="Arial" w:cs="Arial"/>
          <w:sz w:val="20"/>
        </w:rPr>
        <w:t xml:space="preserve"> is not an acknowledgment that the Outstanding Items are warranted under the </w:t>
      </w:r>
      <w:r w:rsidRPr="00CB5377">
        <w:rPr>
          <w:rFonts w:ascii="Arial" w:hAnsi="Arial" w:cs="Arial"/>
          <w:i/>
          <w:sz w:val="20"/>
        </w:rPr>
        <w:t>Ontario New Home Warranties Plan Act,</w:t>
      </w:r>
      <w:r w:rsidRPr="00CB5377">
        <w:rPr>
          <w:rFonts w:ascii="Arial" w:hAnsi="Arial" w:cs="Arial"/>
          <w:sz w:val="20"/>
        </w:rPr>
        <w:t xml:space="preserve"> and warrantability can only be determined by Tarion if the conciliation takes place; and</w:t>
      </w:r>
    </w:p>
    <w:p w14:paraId="4DBA2DC1" w14:textId="77777777" w:rsidR="00CB5377" w:rsidRPr="008D19FA" w:rsidRDefault="00CB5377" w:rsidP="00CB5377">
      <w:pPr>
        <w:pStyle w:val="ListParagraph"/>
        <w:numPr>
          <w:ilvl w:val="0"/>
          <w:numId w:val="41"/>
        </w:numPr>
        <w:spacing w:after="0" w:line="240" w:lineRule="auto"/>
        <w:ind w:right="142"/>
        <w:contextualSpacing w:val="0"/>
        <w:jc w:val="both"/>
        <w:rPr>
          <w:rFonts w:ascii="Arial" w:hAnsi="Arial" w:cs="Arial"/>
          <w:sz w:val="20"/>
        </w:rPr>
      </w:pPr>
      <w:r>
        <w:rPr>
          <w:rFonts w:ascii="Arial" w:hAnsi="Arial" w:cs="Arial"/>
          <w:sz w:val="20"/>
        </w:rPr>
        <w:t xml:space="preserve">does not </w:t>
      </w:r>
      <w:r w:rsidRPr="008D19FA">
        <w:rPr>
          <w:rFonts w:ascii="Arial" w:hAnsi="Arial" w:cs="Arial"/>
          <w:sz w:val="20"/>
        </w:rPr>
        <w:t xml:space="preserve">add to or take away from the </w:t>
      </w:r>
      <w:r>
        <w:rPr>
          <w:rFonts w:ascii="Arial" w:hAnsi="Arial" w:cs="Arial"/>
          <w:sz w:val="20"/>
        </w:rPr>
        <w:t>H</w:t>
      </w:r>
      <w:r w:rsidRPr="008D19FA">
        <w:rPr>
          <w:rFonts w:ascii="Arial" w:hAnsi="Arial" w:cs="Arial"/>
          <w:sz w:val="20"/>
        </w:rPr>
        <w:t xml:space="preserve">omeowner’s </w:t>
      </w:r>
      <w:r>
        <w:rPr>
          <w:rFonts w:ascii="Arial" w:hAnsi="Arial" w:cs="Arial"/>
          <w:sz w:val="20"/>
        </w:rPr>
        <w:t xml:space="preserve">statutory </w:t>
      </w:r>
      <w:r w:rsidRPr="008D19FA">
        <w:rPr>
          <w:rFonts w:ascii="Arial" w:hAnsi="Arial" w:cs="Arial"/>
          <w:sz w:val="20"/>
        </w:rPr>
        <w:t>warranty rights as long as the</w:t>
      </w:r>
      <w:r>
        <w:rPr>
          <w:rFonts w:ascii="Arial" w:hAnsi="Arial" w:cs="Arial"/>
          <w:sz w:val="20"/>
        </w:rPr>
        <w:t xml:space="preserve"> Homeowner requests</w:t>
      </w:r>
      <w:r w:rsidRPr="008D19FA">
        <w:rPr>
          <w:rFonts w:ascii="Arial" w:hAnsi="Arial" w:cs="Arial"/>
          <w:sz w:val="20"/>
        </w:rPr>
        <w:t xml:space="preserve"> conciliation </w:t>
      </w:r>
      <w:r>
        <w:rPr>
          <w:rFonts w:ascii="Arial" w:hAnsi="Arial" w:cs="Arial"/>
          <w:sz w:val="20"/>
        </w:rPr>
        <w:t xml:space="preserve">within the Conciliation Request Timeframe. </w:t>
      </w:r>
    </w:p>
    <w:p w14:paraId="645C8F06" w14:textId="77777777" w:rsidR="00CB5377" w:rsidRDefault="00CB5377" w:rsidP="00CB5377">
      <w:pPr>
        <w:ind w:right="142"/>
        <w:jc w:val="both"/>
        <w:rPr>
          <w:rFonts w:cs="Arial"/>
          <w:lang w:bidi="en-US"/>
        </w:rPr>
      </w:pPr>
    </w:p>
    <w:p w14:paraId="6F8E660E" w14:textId="77777777" w:rsidR="008C0E80" w:rsidRDefault="008C0E80" w:rsidP="00CB5377">
      <w:pPr>
        <w:ind w:right="142"/>
        <w:jc w:val="both"/>
        <w:rPr>
          <w:rFonts w:cs="Arial"/>
          <w:lang w:bidi="en-US"/>
        </w:rPr>
      </w:pPr>
    </w:p>
    <w:p w14:paraId="44EE25A4" w14:textId="77777777" w:rsidR="008C0E80" w:rsidRDefault="008C0E80" w:rsidP="00CB5377">
      <w:pPr>
        <w:ind w:right="142"/>
        <w:jc w:val="both"/>
        <w:rPr>
          <w:rFonts w:cs="Arial"/>
          <w:lang w:bidi="en-US"/>
        </w:rPr>
      </w:pPr>
    </w:p>
    <w:p w14:paraId="7F26D679" w14:textId="77777777" w:rsidR="008C0E80" w:rsidRDefault="008C0E80" w:rsidP="00CB5377">
      <w:pPr>
        <w:ind w:right="142"/>
        <w:jc w:val="both"/>
        <w:rPr>
          <w:rFonts w:cs="Arial"/>
          <w:lang w:bidi="en-US"/>
        </w:rPr>
      </w:pPr>
    </w:p>
    <w:p w14:paraId="122C908C" w14:textId="77777777" w:rsidR="00CB5377" w:rsidRPr="00CB5377" w:rsidRDefault="00CB5377" w:rsidP="00CB5377">
      <w:pPr>
        <w:ind w:right="142"/>
        <w:jc w:val="both"/>
        <w:rPr>
          <w:rFonts w:cs="Arial"/>
          <w:lang w:bidi="en-US"/>
        </w:rPr>
      </w:pPr>
      <w:r w:rsidRPr="00CB5377">
        <w:rPr>
          <w:rFonts w:cs="Arial"/>
          <w:lang w:bidi="en-US"/>
        </w:rPr>
        <w:t>Date: _________________________________________</w:t>
      </w:r>
    </w:p>
    <w:p w14:paraId="52B21650" w14:textId="77777777" w:rsidR="00CB5377" w:rsidRPr="00CB5377" w:rsidRDefault="00CB5377" w:rsidP="00CB5377">
      <w:pPr>
        <w:ind w:right="142"/>
        <w:jc w:val="both"/>
        <w:rPr>
          <w:rFonts w:cs="Arial"/>
          <w:lang w:bidi="en-US"/>
        </w:rPr>
      </w:pPr>
    </w:p>
    <w:p w14:paraId="150ED188" w14:textId="77777777" w:rsidR="00CB5377" w:rsidRPr="00CB5377" w:rsidRDefault="00CB5377" w:rsidP="00CB5377">
      <w:pPr>
        <w:ind w:right="142"/>
        <w:jc w:val="both"/>
        <w:rPr>
          <w:rFonts w:cs="Arial"/>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5377" w:rsidRPr="00CB5377" w14:paraId="3361D10C" w14:textId="77777777" w:rsidTr="0084767B">
        <w:tc>
          <w:tcPr>
            <w:tcW w:w="4788" w:type="dxa"/>
          </w:tcPr>
          <w:p w14:paraId="74891968" w14:textId="77777777" w:rsidR="00CB5377" w:rsidRPr="00CB5377" w:rsidRDefault="00CB5377" w:rsidP="00CB5377">
            <w:pPr>
              <w:ind w:right="142"/>
              <w:jc w:val="both"/>
              <w:rPr>
                <w:rFonts w:cs="Arial"/>
                <w:b/>
                <w:lang w:bidi="en-US"/>
              </w:rPr>
            </w:pPr>
            <w:r w:rsidRPr="00CB5377">
              <w:rPr>
                <w:rFonts w:cs="Arial"/>
                <w:b/>
                <w:lang w:bidi="en-US"/>
              </w:rPr>
              <w:t>[Homeowner]</w:t>
            </w:r>
          </w:p>
          <w:p w14:paraId="4AA0A42A" w14:textId="77777777" w:rsidR="00CB5377" w:rsidRPr="00CB5377" w:rsidRDefault="00CB5377" w:rsidP="00CB5377">
            <w:pPr>
              <w:ind w:right="142"/>
              <w:jc w:val="both"/>
              <w:rPr>
                <w:rFonts w:cs="Arial"/>
                <w:b/>
                <w:lang w:bidi="en-US"/>
              </w:rPr>
            </w:pPr>
          </w:p>
          <w:p w14:paraId="0FC6C2FE" w14:textId="77777777" w:rsidR="00CB5377" w:rsidRPr="00CB5377" w:rsidRDefault="00CB5377" w:rsidP="00CB5377">
            <w:pPr>
              <w:ind w:right="142"/>
              <w:jc w:val="both"/>
              <w:rPr>
                <w:rFonts w:cs="Arial"/>
                <w:lang w:bidi="en-US"/>
              </w:rPr>
            </w:pPr>
          </w:p>
          <w:p w14:paraId="573334AF" w14:textId="77777777" w:rsidR="00CB5377" w:rsidRPr="00CB5377" w:rsidRDefault="00CB5377" w:rsidP="00CB5377">
            <w:pPr>
              <w:ind w:right="142"/>
              <w:jc w:val="both"/>
              <w:rPr>
                <w:rFonts w:cs="Arial"/>
                <w:lang w:bidi="en-US"/>
              </w:rPr>
            </w:pPr>
            <w:r w:rsidRPr="00CB5377">
              <w:rPr>
                <w:rFonts w:cs="Arial"/>
                <w:lang w:bidi="en-US"/>
              </w:rPr>
              <w:t>_________________________________</w:t>
            </w:r>
          </w:p>
          <w:p w14:paraId="6278F012" w14:textId="77777777" w:rsidR="00CB5377" w:rsidRPr="00CB5377" w:rsidRDefault="00CB5377" w:rsidP="00CB5377">
            <w:pPr>
              <w:ind w:right="142"/>
              <w:jc w:val="both"/>
              <w:rPr>
                <w:rFonts w:cs="Arial"/>
                <w:lang w:bidi="en-US"/>
              </w:rPr>
            </w:pPr>
            <w:r w:rsidRPr="00CB5377">
              <w:rPr>
                <w:rFonts w:cs="Arial"/>
                <w:lang w:bidi="en-US"/>
              </w:rPr>
              <w:t>Name:</w:t>
            </w:r>
          </w:p>
          <w:p w14:paraId="549EBBDA" w14:textId="77777777" w:rsidR="00CB5377" w:rsidRPr="00CB5377" w:rsidRDefault="00CB5377" w:rsidP="00CB5377">
            <w:pPr>
              <w:ind w:right="142"/>
              <w:jc w:val="both"/>
              <w:rPr>
                <w:rFonts w:cs="Arial"/>
                <w:lang w:bidi="en-US"/>
              </w:rPr>
            </w:pPr>
            <w:r w:rsidRPr="00CB5377">
              <w:rPr>
                <w:rFonts w:cs="Arial"/>
                <w:lang w:bidi="en-US"/>
              </w:rPr>
              <w:t xml:space="preserve">      </w:t>
            </w:r>
          </w:p>
          <w:p w14:paraId="689987D0" w14:textId="77777777" w:rsidR="00CB5377" w:rsidRPr="00CB5377" w:rsidRDefault="00CB5377" w:rsidP="00CB5377">
            <w:pPr>
              <w:ind w:right="142"/>
              <w:jc w:val="both"/>
              <w:rPr>
                <w:rFonts w:cs="Arial"/>
                <w:lang w:bidi="en-US"/>
              </w:rPr>
            </w:pPr>
          </w:p>
          <w:p w14:paraId="64FC2CCC" w14:textId="77777777" w:rsidR="00CB5377" w:rsidRPr="00CB5377" w:rsidRDefault="00CB5377" w:rsidP="00CB5377">
            <w:pPr>
              <w:ind w:right="142"/>
              <w:jc w:val="both"/>
              <w:rPr>
                <w:rFonts w:cs="Arial"/>
                <w:lang w:bidi="en-US"/>
              </w:rPr>
            </w:pPr>
            <w:r w:rsidRPr="00CB5377">
              <w:rPr>
                <w:rFonts w:cs="Arial"/>
                <w:lang w:bidi="en-US"/>
              </w:rPr>
              <w:t>_________________________________</w:t>
            </w:r>
          </w:p>
          <w:p w14:paraId="394F8013" w14:textId="77777777" w:rsidR="00CB5377" w:rsidRPr="00CB5377" w:rsidRDefault="00CB5377" w:rsidP="00CB5377">
            <w:pPr>
              <w:ind w:right="142"/>
              <w:jc w:val="both"/>
              <w:rPr>
                <w:rFonts w:cs="Arial"/>
                <w:lang w:bidi="en-US"/>
              </w:rPr>
            </w:pPr>
            <w:r w:rsidRPr="00CB5377">
              <w:rPr>
                <w:rFonts w:cs="Arial"/>
                <w:lang w:bidi="en-US"/>
              </w:rPr>
              <w:t>Name:</w:t>
            </w:r>
          </w:p>
          <w:p w14:paraId="39F13D4F" w14:textId="77777777" w:rsidR="00CB5377" w:rsidRPr="00CB5377" w:rsidRDefault="00CB5377" w:rsidP="00CB5377">
            <w:pPr>
              <w:ind w:right="142"/>
              <w:jc w:val="both"/>
              <w:rPr>
                <w:rFonts w:cs="Arial"/>
                <w:lang w:bidi="en-US"/>
              </w:rPr>
            </w:pPr>
            <w:r w:rsidRPr="00CB5377">
              <w:rPr>
                <w:rFonts w:cs="Arial"/>
                <w:lang w:bidi="en-US"/>
              </w:rPr>
              <w:t xml:space="preserve">      </w:t>
            </w:r>
          </w:p>
          <w:p w14:paraId="76C9C275" w14:textId="77777777" w:rsidR="00CB5377" w:rsidRPr="00CB5377" w:rsidRDefault="00CB5377" w:rsidP="00CB5377">
            <w:pPr>
              <w:ind w:right="142"/>
              <w:jc w:val="both"/>
              <w:rPr>
                <w:rFonts w:cs="Arial"/>
                <w:lang w:bidi="en-US"/>
              </w:rPr>
            </w:pPr>
          </w:p>
          <w:p w14:paraId="3535FCA3" w14:textId="77777777" w:rsidR="00CB5377" w:rsidRPr="00CB5377" w:rsidRDefault="00CB5377" w:rsidP="00CB5377">
            <w:pPr>
              <w:ind w:right="142"/>
              <w:jc w:val="both"/>
              <w:rPr>
                <w:rFonts w:cs="Arial"/>
                <w:lang w:bidi="en-US"/>
              </w:rPr>
            </w:pPr>
          </w:p>
          <w:p w14:paraId="635D92B9" w14:textId="77777777" w:rsidR="00CB5377" w:rsidRPr="00CB5377" w:rsidRDefault="00CB5377" w:rsidP="00CB5377">
            <w:pPr>
              <w:ind w:right="142"/>
              <w:jc w:val="both"/>
              <w:rPr>
                <w:rFonts w:cs="Arial"/>
                <w:lang w:bidi="en-US"/>
              </w:rPr>
            </w:pPr>
          </w:p>
          <w:p w14:paraId="17D2B9AC" w14:textId="77777777" w:rsidR="00CB5377" w:rsidRPr="00CB5377" w:rsidRDefault="00CB5377" w:rsidP="00CB5377">
            <w:pPr>
              <w:ind w:right="142"/>
              <w:jc w:val="both"/>
              <w:rPr>
                <w:rFonts w:cs="Arial"/>
                <w:lang w:bidi="en-US"/>
              </w:rPr>
            </w:pPr>
          </w:p>
        </w:tc>
        <w:tc>
          <w:tcPr>
            <w:tcW w:w="4788" w:type="dxa"/>
          </w:tcPr>
          <w:p w14:paraId="0A29B5A2" w14:textId="77777777" w:rsidR="00CB5377" w:rsidRPr="00CB5377" w:rsidRDefault="00CB5377" w:rsidP="00CB5377">
            <w:pPr>
              <w:ind w:right="142"/>
              <w:jc w:val="both"/>
              <w:rPr>
                <w:rFonts w:cs="Arial"/>
                <w:b/>
                <w:lang w:bidi="en-US"/>
              </w:rPr>
            </w:pPr>
            <w:r w:rsidRPr="00CB5377">
              <w:rPr>
                <w:rFonts w:cs="Arial"/>
                <w:b/>
                <w:lang w:bidi="en-US"/>
              </w:rPr>
              <w:t>[Builder]</w:t>
            </w:r>
          </w:p>
          <w:p w14:paraId="7D29B987" w14:textId="77777777" w:rsidR="00CB5377" w:rsidRPr="00CB5377" w:rsidRDefault="00CB5377" w:rsidP="00CB5377">
            <w:pPr>
              <w:ind w:right="142"/>
              <w:jc w:val="both"/>
              <w:rPr>
                <w:rFonts w:cs="Arial"/>
                <w:lang w:bidi="en-US"/>
              </w:rPr>
            </w:pPr>
          </w:p>
          <w:p w14:paraId="44BF5A4B" w14:textId="77777777" w:rsidR="00CB5377" w:rsidRPr="00CB5377" w:rsidRDefault="00CB5377" w:rsidP="00CB5377">
            <w:pPr>
              <w:ind w:right="142"/>
              <w:jc w:val="both"/>
              <w:rPr>
                <w:rFonts w:cs="Arial"/>
                <w:lang w:bidi="en-US"/>
              </w:rPr>
            </w:pPr>
          </w:p>
          <w:p w14:paraId="7BF7B899" w14:textId="77777777" w:rsidR="00CB5377" w:rsidRPr="00CB5377" w:rsidRDefault="00CB5377" w:rsidP="00CB5377">
            <w:pPr>
              <w:ind w:right="142"/>
              <w:jc w:val="both"/>
              <w:rPr>
                <w:rFonts w:cs="Arial"/>
                <w:lang w:bidi="en-US"/>
              </w:rPr>
            </w:pPr>
            <w:r w:rsidRPr="00CB5377">
              <w:rPr>
                <w:rFonts w:cs="Arial"/>
                <w:lang w:bidi="en-US"/>
              </w:rPr>
              <w:t>_________________________________</w:t>
            </w:r>
          </w:p>
          <w:p w14:paraId="6971BF1D" w14:textId="77777777" w:rsidR="00CB5377" w:rsidRPr="00CB5377" w:rsidRDefault="00CB5377" w:rsidP="00CB5377">
            <w:pPr>
              <w:ind w:right="142"/>
              <w:jc w:val="both"/>
              <w:rPr>
                <w:rFonts w:cs="Arial"/>
                <w:lang w:bidi="en-US"/>
              </w:rPr>
            </w:pPr>
            <w:r w:rsidRPr="00CB5377">
              <w:rPr>
                <w:rFonts w:cs="Arial"/>
                <w:lang w:bidi="en-US"/>
              </w:rPr>
              <w:t>Name:</w:t>
            </w:r>
          </w:p>
          <w:p w14:paraId="4BBDAD5A" w14:textId="77777777" w:rsidR="00CB5377" w:rsidRPr="00CB5377" w:rsidRDefault="00CB5377" w:rsidP="00CB5377">
            <w:pPr>
              <w:ind w:right="142"/>
              <w:jc w:val="both"/>
              <w:rPr>
                <w:rFonts w:cs="Arial"/>
                <w:lang w:bidi="en-US"/>
              </w:rPr>
            </w:pPr>
            <w:r w:rsidRPr="00CB5377">
              <w:rPr>
                <w:rFonts w:cs="Arial"/>
                <w:lang w:bidi="en-US"/>
              </w:rPr>
              <w:t>Title:</w:t>
            </w:r>
          </w:p>
          <w:p w14:paraId="46B02C2A" w14:textId="77777777" w:rsidR="00CB5377" w:rsidRPr="00CB5377" w:rsidRDefault="00CB5377" w:rsidP="00CB5377">
            <w:pPr>
              <w:ind w:right="142"/>
              <w:jc w:val="both"/>
              <w:rPr>
                <w:rFonts w:cs="Arial"/>
                <w:lang w:bidi="en-US"/>
              </w:rPr>
            </w:pPr>
          </w:p>
          <w:p w14:paraId="6F9B1242" w14:textId="77777777" w:rsidR="00CB5377" w:rsidRPr="00CB5377" w:rsidRDefault="00CB5377" w:rsidP="00CB5377">
            <w:pPr>
              <w:ind w:right="142"/>
              <w:jc w:val="both"/>
              <w:rPr>
                <w:rFonts w:cs="Arial"/>
                <w:lang w:bidi="en-US"/>
              </w:rPr>
            </w:pPr>
            <w:r w:rsidRPr="00CB5377">
              <w:rPr>
                <w:rFonts w:cs="Arial"/>
                <w:lang w:bidi="en-US"/>
              </w:rPr>
              <w:t>_________________________________</w:t>
            </w:r>
          </w:p>
          <w:p w14:paraId="2B18675D" w14:textId="77777777" w:rsidR="00CB5377" w:rsidRPr="00CB5377" w:rsidRDefault="00CB5377" w:rsidP="00CB5377">
            <w:pPr>
              <w:ind w:right="142"/>
              <w:jc w:val="both"/>
              <w:rPr>
                <w:rFonts w:cs="Arial"/>
                <w:lang w:bidi="en-US"/>
              </w:rPr>
            </w:pPr>
            <w:r w:rsidRPr="00CB5377">
              <w:rPr>
                <w:rFonts w:cs="Arial"/>
                <w:lang w:bidi="en-US"/>
              </w:rPr>
              <w:t>Name:</w:t>
            </w:r>
          </w:p>
          <w:p w14:paraId="62421826" w14:textId="77777777" w:rsidR="00CB5377" w:rsidRPr="00CB5377" w:rsidRDefault="00CB5377" w:rsidP="00CB5377">
            <w:pPr>
              <w:ind w:right="142"/>
              <w:jc w:val="both"/>
              <w:rPr>
                <w:rFonts w:cs="Arial"/>
                <w:lang w:bidi="en-US"/>
              </w:rPr>
            </w:pPr>
            <w:r w:rsidRPr="00CB5377">
              <w:rPr>
                <w:rFonts w:cs="Arial"/>
                <w:lang w:bidi="en-US"/>
              </w:rPr>
              <w:t>Title:</w:t>
            </w:r>
          </w:p>
          <w:p w14:paraId="1CA560F1" w14:textId="77777777" w:rsidR="00CB5377" w:rsidRPr="00CB5377" w:rsidRDefault="00CB5377" w:rsidP="00CB5377">
            <w:pPr>
              <w:ind w:right="142"/>
              <w:jc w:val="both"/>
              <w:rPr>
                <w:rFonts w:cs="Arial"/>
                <w:lang w:bidi="en-US"/>
              </w:rPr>
            </w:pPr>
          </w:p>
          <w:p w14:paraId="0F84D00D" w14:textId="77777777" w:rsidR="00CB5377" w:rsidRPr="00CB5377" w:rsidRDefault="00CB5377" w:rsidP="00CB5377">
            <w:pPr>
              <w:ind w:right="142"/>
              <w:jc w:val="both"/>
              <w:rPr>
                <w:rFonts w:cs="Arial"/>
                <w:lang w:bidi="en-US"/>
              </w:rPr>
            </w:pPr>
          </w:p>
          <w:p w14:paraId="6040DCC1" w14:textId="5791E4F4" w:rsidR="00CB5377" w:rsidRPr="00CB5377" w:rsidRDefault="00CB5377" w:rsidP="008133FF">
            <w:pPr>
              <w:ind w:right="142"/>
              <w:jc w:val="both"/>
              <w:rPr>
                <w:rFonts w:cs="Arial"/>
                <w:lang w:bidi="en-US"/>
              </w:rPr>
            </w:pPr>
            <w:r w:rsidRPr="00CB5377">
              <w:rPr>
                <w:rFonts w:cs="Arial"/>
                <w:lang w:bidi="en-US"/>
              </w:rPr>
              <w:t>I/we have authority to bind the Corporation.</w:t>
            </w:r>
          </w:p>
        </w:tc>
      </w:tr>
    </w:tbl>
    <w:p w14:paraId="4A9D99A4" w14:textId="77777777" w:rsidR="00CB5377" w:rsidRPr="00CB5377" w:rsidRDefault="00CB5377" w:rsidP="00CB5377">
      <w:pPr>
        <w:ind w:right="142"/>
        <w:jc w:val="both"/>
        <w:rPr>
          <w:rFonts w:cs="Arial"/>
          <w:b/>
          <w:lang w:bidi="en-US"/>
        </w:rPr>
      </w:pPr>
    </w:p>
    <w:p w14:paraId="1B1C1214" w14:textId="77777777" w:rsidR="00CB5377" w:rsidRPr="00CB5377" w:rsidRDefault="00CB5377" w:rsidP="00CB5377">
      <w:pPr>
        <w:ind w:right="142"/>
        <w:jc w:val="both"/>
        <w:rPr>
          <w:rFonts w:cs="Arial"/>
          <w:b/>
          <w:lang w:bidi="en-US"/>
        </w:rPr>
      </w:pPr>
    </w:p>
    <w:p w14:paraId="1EEE5984" w14:textId="77777777" w:rsidR="00CB5377" w:rsidRPr="00CB5377" w:rsidRDefault="00CB5377" w:rsidP="008133FF">
      <w:pPr>
        <w:ind w:right="142"/>
        <w:jc w:val="center"/>
        <w:rPr>
          <w:rFonts w:cs="Arial"/>
          <w:b/>
          <w:lang w:bidi="en-US"/>
        </w:rPr>
      </w:pPr>
      <w:r w:rsidRPr="00CB5377">
        <w:rPr>
          <w:rFonts w:cs="Arial"/>
          <w:b/>
          <w:lang w:bidi="en-US"/>
        </w:rPr>
        <w:t>Acknowledgement</w:t>
      </w:r>
    </w:p>
    <w:p w14:paraId="38ECE509" w14:textId="77777777" w:rsidR="00CB5377" w:rsidRPr="00CB5377" w:rsidRDefault="00CB5377" w:rsidP="00CB5377">
      <w:pPr>
        <w:ind w:right="142"/>
        <w:jc w:val="both"/>
        <w:rPr>
          <w:rFonts w:cs="Arial"/>
          <w:b/>
          <w:lang w:bidi="en-US"/>
        </w:rPr>
      </w:pPr>
    </w:p>
    <w:p w14:paraId="731B5A11" w14:textId="77777777" w:rsidR="00CB5377" w:rsidRPr="00CB5377" w:rsidRDefault="00CB5377" w:rsidP="00CB5377">
      <w:pPr>
        <w:ind w:right="142"/>
        <w:jc w:val="both"/>
        <w:rPr>
          <w:rFonts w:cs="Arial"/>
          <w:lang w:bidi="en-US"/>
        </w:rPr>
      </w:pPr>
      <w:r w:rsidRPr="00CB5377">
        <w:rPr>
          <w:rFonts w:cs="Arial"/>
          <w:lang w:bidi="en-US"/>
        </w:rPr>
        <w:t>Tarion acknowledges the above agreement and exercises its discretion to extend or abridge statutory timelines to accommodate this agreement.</w:t>
      </w:r>
    </w:p>
    <w:p w14:paraId="7B5B292C" w14:textId="77777777" w:rsidR="00CB5377" w:rsidRPr="00CB5377" w:rsidRDefault="00CB5377" w:rsidP="00CB5377">
      <w:pPr>
        <w:ind w:right="142"/>
        <w:jc w:val="both"/>
        <w:rPr>
          <w:rFonts w:cs="Arial"/>
          <w:lang w:bidi="en-US"/>
        </w:rPr>
      </w:pP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p>
    <w:p w14:paraId="73476582" w14:textId="77777777" w:rsidR="00CB5377" w:rsidRPr="00CB5377" w:rsidRDefault="00CB5377" w:rsidP="00CB5377">
      <w:pPr>
        <w:ind w:right="142"/>
        <w:jc w:val="both"/>
        <w:rPr>
          <w:rFonts w:cs="Arial"/>
          <w:lang w:bidi="en-US"/>
        </w:rPr>
      </w:pPr>
      <w:r w:rsidRPr="00CB5377">
        <w:rPr>
          <w:rFonts w:cs="Arial"/>
          <w:lang w:bidi="en-US"/>
        </w:rPr>
        <w:tab/>
      </w:r>
    </w:p>
    <w:p w14:paraId="150E150E" w14:textId="77777777" w:rsidR="00CB5377" w:rsidRPr="00CB5377" w:rsidRDefault="00CB5377" w:rsidP="00CB5377">
      <w:pPr>
        <w:ind w:left="4320" w:right="142" w:firstLine="720"/>
        <w:jc w:val="both"/>
        <w:rPr>
          <w:rFonts w:cs="Arial"/>
          <w:b/>
          <w:lang w:bidi="en-US"/>
        </w:rPr>
      </w:pPr>
      <w:r w:rsidRPr="00CB5377">
        <w:rPr>
          <w:rFonts w:cs="Arial"/>
          <w:b/>
          <w:lang w:bidi="en-US"/>
        </w:rPr>
        <w:t>TARION WARRANTY CORPORATION</w:t>
      </w:r>
    </w:p>
    <w:p w14:paraId="584A720E" w14:textId="77777777" w:rsidR="00CB5377" w:rsidRPr="00CB5377" w:rsidRDefault="00CB5377" w:rsidP="00CB5377">
      <w:pPr>
        <w:ind w:right="142"/>
        <w:jc w:val="both"/>
        <w:rPr>
          <w:rFonts w:cs="Arial"/>
          <w:lang w:bidi="en-US"/>
        </w:rPr>
      </w:pPr>
    </w:p>
    <w:p w14:paraId="3B06773A" w14:textId="77777777" w:rsidR="00CB5377" w:rsidRPr="00CB5377" w:rsidRDefault="00CB5377" w:rsidP="00CB5377">
      <w:pPr>
        <w:ind w:right="142"/>
        <w:jc w:val="both"/>
        <w:rPr>
          <w:rFonts w:cs="Arial"/>
          <w:lang w:bidi="en-US"/>
        </w:rPr>
      </w:pPr>
    </w:p>
    <w:p w14:paraId="0218B461" w14:textId="77777777" w:rsidR="00CB5377" w:rsidRPr="00CB5377" w:rsidRDefault="00CB5377" w:rsidP="00CB5377">
      <w:pPr>
        <w:ind w:right="142"/>
        <w:jc w:val="both"/>
        <w:rPr>
          <w:rFonts w:cs="Arial"/>
          <w:lang w:bidi="en-US"/>
        </w:rPr>
      </w:pPr>
    </w:p>
    <w:p w14:paraId="08CCAB95" w14:textId="77777777" w:rsidR="00CB5377" w:rsidRPr="00CB5377" w:rsidRDefault="00CB5377" w:rsidP="00CB5377">
      <w:pPr>
        <w:ind w:right="142"/>
        <w:jc w:val="both"/>
        <w:rPr>
          <w:rFonts w:cs="Arial"/>
          <w:lang w:bidi="en-US"/>
        </w:rPr>
      </w:pP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t xml:space="preserve"> ___________________________</w:t>
      </w:r>
    </w:p>
    <w:p w14:paraId="2EDF2B67" w14:textId="77777777" w:rsidR="00CB5377" w:rsidRPr="00CB5377" w:rsidRDefault="00CB5377" w:rsidP="00CB5377">
      <w:pPr>
        <w:ind w:right="142"/>
        <w:jc w:val="both"/>
        <w:rPr>
          <w:rFonts w:cs="Arial"/>
          <w:lang w:bidi="en-US"/>
        </w:rPr>
      </w:pP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r>
      <w:r w:rsidRPr="00CB5377">
        <w:rPr>
          <w:rFonts w:cs="Arial"/>
          <w:lang w:bidi="en-US"/>
        </w:rPr>
        <w:tab/>
        <w:t xml:space="preserve">              Name:</w:t>
      </w:r>
    </w:p>
    <w:p w14:paraId="4290E8B3" w14:textId="77777777" w:rsidR="00CB5377" w:rsidRPr="00CB5377" w:rsidRDefault="00CB5377" w:rsidP="00CB5377">
      <w:pPr>
        <w:ind w:right="142"/>
        <w:jc w:val="both"/>
        <w:rPr>
          <w:rFonts w:cs="Arial"/>
          <w:lang w:bidi="en-US"/>
        </w:rPr>
      </w:pPr>
      <w:r w:rsidRPr="00CB5377">
        <w:rPr>
          <w:rFonts w:cs="Arial"/>
          <w:lang w:bidi="en-US"/>
        </w:rPr>
        <w:t xml:space="preserve">                                                                                     </w:t>
      </w:r>
      <w:r w:rsidRPr="00CB5377">
        <w:rPr>
          <w:rFonts w:cs="Arial"/>
          <w:lang w:bidi="en-US"/>
        </w:rPr>
        <w:tab/>
        <w:t xml:space="preserve"> Title:</w:t>
      </w:r>
    </w:p>
    <w:p w14:paraId="2511743A" w14:textId="6012670B" w:rsidR="00A9539C" w:rsidRDefault="00A9539C">
      <w:pPr>
        <w:rPr>
          <w:rFonts w:cs="Arial"/>
          <w:lang w:bidi="en-US"/>
        </w:rPr>
      </w:pPr>
      <w:r>
        <w:rPr>
          <w:rFonts w:cs="Arial"/>
          <w:lang w:bidi="en-US"/>
        </w:rPr>
        <w:br w:type="page"/>
      </w:r>
    </w:p>
    <w:p w14:paraId="46CB31FF" w14:textId="77777777" w:rsidR="005246DA" w:rsidRDefault="005246DA" w:rsidP="005246DA">
      <w:pPr>
        <w:ind w:right="142"/>
        <w:jc w:val="center"/>
        <w:rPr>
          <w:rFonts w:cs="Arial"/>
          <w:b/>
          <w:color w:val="00396C"/>
          <w:sz w:val="24"/>
          <w:szCs w:val="32"/>
          <w:lang w:bidi="en-US"/>
        </w:rPr>
      </w:pPr>
      <w:r w:rsidRPr="005246DA">
        <w:rPr>
          <w:rFonts w:cs="Arial"/>
          <w:b/>
          <w:color w:val="00396C"/>
          <w:sz w:val="24"/>
          <w:szCs w:val="32"/>
          <w:lang w:bidi="en-US"/>
        </w:rPr>
        <w:t>Schedule “A” to Repair Agreement</w:t>
      </w:r>
    </w:p>
    <w:p w14:paraId="244E52D1" w14:textId="77777777" w:rsidR="005246DA" w:rsidRDefault="005246DA" w:rsidP="005246DA">
      <w:pPr>
        <w:ind w:right="142"/>
        <w:jc w:val="center"/>
        <w:rPr>
          <w:rFonts w:cs="Arial"/>
          <w:b/>
          <w:color w:val="00396C"/>
          <w:sz w:val="24"/>
          <w:szCs w:val="32"/>
          <w:lang w:bidi="en-US"/>
        </w:rPr>
      </w:pPr>
    </w:p>
    <w:p w14:paraId="6A11E778" w14:textId="6E091B4F" w:rsidR="005246DA" w:rsidRPr="005246DA" w:rsidRDefault="005246DA" w:rsidP="005246DA">
      <w:pPr>
        <w:spacing w:before="120" w:after="240"/>
        <w:ind w:right="144"/>
        <w:jc w:val="both"/>
        <w:rPr>
          <w:rFonts w:cs="Arial"/>
        </w:rPr>
      </w:pPr>
      <w:r w:rsidRPr="005246DA">
        <w:rPr>
          <w:rFonts w:cs="Arial"/>
        </w:rPr>
        <w:t>Home Enrolment Number:__________________  Statutory Warranty Form Type:_________________</w:t>
      </w:r>
    </w:p>
    <w:p w14:paraId="65C6C31C" w14:textId="481879E5" w:rsidR="005246DA" w:rsidRPr="005246DA" w:rsidRDefault="005246DA" w:rsidP="005246DA">
      <w:pPr>
        <w:spacing w:before="120" w:after="240"/>
        <w:ind w:right="144"/>
        <w:jc w:val="both"/>
        <w:rPr>
          <w:rFonts w:cs="Arial"/>
        </w:rPr>
      </w:pPr>
      <w:r w:rsidRPr="005246DA">
        <w:rPr>
          <w:rFonts w:cs="Arial"/>
        </w:rPr>
        <w:t>Case Number: ___________________________</w:t>
      </w:r>
    </w:p>
    <w:p w14:paraId="1537F1B3" w14:textId="77777777" w:rsidR="005246DA" w:rsidRPr="005246DA" w:rsidRDefault="005246DA" w:rsidP="005246DA">
      <w:pPr>
        <w:spacing w:before="120" w:after="240"/>
        <w:ind w:right="144"/>
        <w:jc w:val="both"/>
        <w:rPr>
          <w:rFonts w:cs="Arial"/>
        </w:rPr>
      </w:pPr>
      <w:r w:rsidRPr="005246DA">
        <w:rPr>
          <w:rFonts w:cs="Arial"/>
        </w:rPr>
        <w:t xml:space="preserve">List of Outstanding Items: </w:t>
      </w:r>
    </w:p>
    <w:p w14:paraId="1E40226B" w14:textId="77777777" w:rsidR="005246DA" w:rsidRPr="005246DA" w:rsidRDefault="005246DA" w:rsidP="005246DA">
      <w:pPr>
        <w:spacing w:before="120" w:after="120"/>
        <w:ind w:right="142"/>
        <w:jc w:val="both"/>
        <w:rPr>
          <w:rFonts w:cs="Arial"/>
        </w:rPr>
      </w:pPr>
    </w:p>
    <w:tbl>
      <w:tblPr>
        <w:tblStyle w:val="TableGrid"/>
        <w:tblW w:w="9747" w:type="dxa"/>
        <w:tblLook w:val="04A0" w:firstRow="1" w:lastRow="0" w:firstColumn="1" w:lastColumn="0" w:noHBand="0" w:noVBand="1"/>
      </w:tblPr>
      <w:tblGrid>
        <w:gridCol w:w="817"/>
        <w:gridCol w:w="2552"/>
        <w:gridCol w:w="6378"/>
      </w:tblGrid>
      <w:tr w:rsidR="005246DA" w:rsidRPr="005246DA" w14:paraId="0A248C73" w14:textId="77777777" w:rsidTr="0084767B">
        <w:tc>
          <w:tcPr>
            <w:tcW w:w="817" w:type="dxa"/>
          </w:tcPr>
          <w:p w14:paraId="1D7513CD" w14:textId="77777777" w:rsidR="005246DA" w:rsidRPr="005246DA" w:rsidRDefault="005246DA" w:rsidP="005246DA">
            <w:pPr>
              <w:spacing w:before="120" w:after="120"/>
              <w:ind w:right="142"/>
              <w:jc w:val="both"/>
              <w:rPr>
                <w:rFonts w:cs="Arial"/>
              </w:rPr>
            </w:pPr>
            <w:r w:rsidRPr="005246DA">
              <w:rPr>
                <w:rFonts w:cs="Arial"/>
              </w:rPr>
              <w:t>Item #</w:t>
            </w:r>
          </w:p>
        </w:tc>
        <w:tc>
          <w:tcPr>
            <w:tcW w:w="2552" w:type="dxa"/>
          </w:tcPr>
          <w:p w14:paraId="2F856A67" w14:textId="77777777" w:rsidR="005246DA" w:rsidRPr="005246DA" w:rsidRDefault="005246DA" w:rsidP="005246DA">
            <w:pPr>
              <w:spacing w:before="120" w:after="120"/>
              <w:ind w:right="142"/>
              <w:jc w:val="both"/>
              <w:rPr>
                <w:rFonts w:cs="Arial"/>
              </w:rPr>
            </w:pPr>
            <w:r w:rsidRPr="005246DA">
              <w:rPr>
                <w:rFonts w:cs="Arial"/>
              </w:rPr>
              <w:t>Room/Location</w:t>
            </w:r>
          </w:p>
        </w:tc>
        <w:tc>
          <w:tcPr>
            <w:tcW w:w="6378" w:type="dxa"/>
          </w:tcPr>
          <w:p w14:paraId="2C4FBD79" w14:textId="77777777" w:rsidR="005246DA" w:rsidRPr="005246DA" w:rsidRDefault="005246DA" w:rsidP="005246DA">
            <w:pPr>
              <w:spacing w:before="120" w:after="120"/>
              <w:ind w:right="142"/>
              <w:jc w:val="both"/>
              <w:rPr>
                <w:rFonts w:cs="Arial"/>
              </w:rPr>
            </w:pPr>
            <w:r w:rsidRPr="005246DA">
              <w:rPr>
                <w:rFonts w:cs="Arial"/>
              </w:rPr>
              <w:t>Description</w:t>
            </w:r>
          </w:p>
        </w:tc>
      </w:tr>
      <w:tr w:rsidR="005246DA" w:rsidRPr="005246DA" w14:paraId="5BDB8252" w14:textId="77777777" w:rsidTr="0084767B">
        <w:tc>
          <w:tcPr>
            <w:tcW w:w="817" w:type="dxa"/>
          </w:tcPr>
          <w:p w14:paraId="372CC1D0" w14:textId="77777777" w:rsidR="005246DA" w:rsidRPr="005246DA" w:rsidRDefault="005246DA" w:rsidP="005246DA">
            <w:pPr>
              <w:spacing w:before="120" w:after="120"/>
              <w:ind w:right="142"/>
              <w:jc w:val="both"/>
              <w:rPr>
                <w:rFonts w:cs="Arial"/>
              </w:rPr>
            </w:pPr>
          </w:p>
        </w:tc>
        <w:tc>
          <w:tcPr>
            <w:tcW w:w="2552" w:type="dxa"/>
          </w:tcPr>
          <w:p w14:paraId="4B141E94" w14:textId="77777777" w:rsidR="005246DA" w:rsidRPr="005246DA" w:rsidRDefault="005246DA" w:rsidP="005246DA">
            <w:pPr>
              <w:spacing w:before="120" w:after="120"/>
              <w:ind w:right="142"/>
              <w:jc w:val="both"/>
              <w:rPr>
                <w:rFonts w:cs="Arial"/>
              </w:rPr>
            </w:pPr>
          </w:p>
        </w:tc>
        <w:tc>
          <w:tcPr>
            <w:tcW w:w="6378" w:type="dxa"/>
          </w:tcPr>
          <w:p w14:paraId="5DE601AF" w14:textId="77777777" w:rsidR="005246DA" w:rsidRPr="005246DA" w:rsidRDefault="005246DA" w:rsidP="005246DA">
            <w:pPr>
              <w:spacing w:before="120" w:after="120"/>
              <w:ind w:right="142"/>
              <w:jc w:val="both"/>
              <w:rPr>
                <w:rFonts w:cs="Arial"/>
              </w:rPr>
            </w:pPr>
          </w:p>
        </w:tc>
      </w:tr>
      <w:tr w:rsidR="005246DA" w:rsidRPr="005246DA" w14:paraId="4B1ECC6D" w14:textId="77777777" w:rsidTr="0084767B">
        <w:tc>
          <w:tcPr>
            <w:tcW w:w="817" w:type="dxa"/>
          </w:tcPr>
          <w:p w14:paraId="0F236546" w14:textId="77777777" w:rsidR="005246DA" w:rsidRPr="005246DA" w:rsidRDefault="005246DA" w:rsidP="005246DA">
            <w:pPr>
              <w:spacing w:before="120" w:after="120"/>
              <w:ind w:right="142"/>
              <w:jc w:val="both"/>
              <w:rPr>
                <w:rFonts w:cs="Arial"/>
              </w:rPr>
            </w:pPr>
          </w:p>
        </w:tc>
        <w:tc>
          <w:tcPr>
            <w:tcW w:w="2552" w:type="dxa"/>
          </w:tcPr>
          <w:p w14:paraId="5BF0EDF8" w14:textId="77777777" w:rsidR="005246DA" w:rsidRPr="005246DA" w:rsidRDefault="005246DA" w:rsidP="005246DA">
            <w:pPr>
              <w:spacing w:before="120" w:after="120"/>
              <w:ind w:right="142"/>
              <w:jc w:val="both"/>
              <w:rPr>
                <w:rFonts w:cs="Arial"/>
              </w:rPr>
            </w:pPr>
          </w:p>
        </w:tc>
        <w:tc>
          <w:tcPr>
            <w:tcW w:w="6378" w:type="dxa"/>
          </w:tcPr>
          <w:p w14:paraId="44E61E22" w14:textId="77777777" w:rsidR="005246DA" w:rsidRPr="005246DA" w:rsidRDefault="005246DA" w:rsidP="005246DA">
            <w:pPr>
              <w:spacing w:before="120" w:after="120"/>
              <w:ind w:right="142"/>
              <w:jc w:val="both"/>
              <w:rPr>
                <w:rFonts w:cs="Arial"/>
              </w:rPr>
            </w:pPr>
          </w:p>
        </w:tc>
      </w:tr>
      <w:tr w:rsidR="005246DA" w:rsidRPr="005246DA" w14:paraId="037A70C6" w14:textId="77777777" w:rsidTr="0084767B">
        <w:tc>
          <w:tcPr>
            <w:tcW w:w="817" w:type="dxa"/>
          </w:tcPr>
          <w:p w14:paraId="779555C6" w14:textId="77777777" w:rsidR="005246DA" w:rsidRPr="005246DA" w:rsidRDefault="005246DA" w:rsidP="005246DA">
            <w:pPr>
              <w:spacing w:before="120" w:after="120"/>
              <w:ind w:right="142"/>
              <w:jc w:val="both"/>
              <w:rPr>
                <w:rFonts w:cs="Arial"/>
              </w:rPr>
            </w:pPr>
          </w:p>
        </w:tc>
        <w:tc>
          <w:tcPr>
            <w:tcW w:w="2552" w:type="dxa"/>
          </w:tcPr>
          <w:p w14:paraId="37088783" w14:textId="77777777" w:rsidR="005246DA" w:rsidRPr="005246DA" w:rsidRDefault="005246DA" w:rsidP="005246DA">
            <w:pPr>
              <w:spacing w:before="120" w:after="120"/>
              <w:ind w:right="142"/>
              <w:jc w:val="both"/>
              <w:rPr>
                <w:rFonts w:cs="Arial"/>
              </w:rPr>
            </w:pPr>
          </w:p>
        </w:tc>
        <w:tc>
          <w:tcPr>
            <w:tcW w:w="6378" w:type="dxa"/>
          </w:tcPr>
          <w:p w14:paraId="5D438CB9" w14:textId="77777777" w:rsidR="005246DA" w:rsidRPr="005246DA" w:rsidRDefault="005246DA" w:rsidP="005246DA">
            <w:pPr>
              <w:spacing w:before="120" w:after="120"/>
              <w:ind w:right="142"/>
              <w:jc w:val="both"/>
              <w:rPr>
                <w:rFonts w:cs="Arial"/>
              </w:rPr>
            </w:pPr>
          </w:p>
        </w:tc>
      </w:tr>
      <w:tr w:rsidR="005246DA" w:rsidRPr="005246DA" w14:paraId="59EA250E" w14:textId="77777777" w:rsidTr="0084767B">
        <w:tc>
          <w:tcPr>
            <w:tcW w:w="817" w:type="dxa"/>
          </w:tcPr>
          <w:p w14:paraId="0B450E0F" w14:textId="77777777" w:rsidR="005246DA" w:rsidRPr="005246DA" w:rsidRDefault="005246DA" w:rsidP="005246DA">
            <w:pPr>
              <w:spacing w:before="120" w:after="120"/>
              <w:ind w:right="142"/>
              <w:jc w:val="both"/>
              <w:rPr>
                <w:rFonts w:cs="Arial"/>
              </w:rPr>
            </w:pPr>
          </w:p>
        </w:tc>
        <w:tc>
          <w:tcPr>
            <w:tcW w:w="2552" w:type="dxa"/>
          </w:tcPr>
          <w:p w14:paraId="73391CC7" w14:textId="77777777" w:rsidR="005246DA" w:rsidRPr="005246DA" w:rsidRDefault="005246DA" w:rsidP="005246DA">
            <w:pPr>
              <w:spacing w:before="120" w:after="120"/>
              <w:ind w:right="142"/>
              <w:jc w:val="both"/>
              <w:rPr>
                <w:rFonts w:cs="Arial"/>
              </w:rPr>
            </w:pPr>
          </w:p>
        </w:tc>
        <w:tc>
          <w:tcPr>
            <w:tcW w:w="6378" w:type="dxa"/>
          </w:tcPr>
          <w:p w14:paraId="7111FB7F" w14:textId="77777777" w:rsidR="005246DA" w:rsidRPr="005246DA" w:rsidRDefault="005246DA" w:rsidP="005246DA">
            <w:pPr>
              <w:spacing w:before="120" w:after="120"/>
              <w:ind w:right="142"/>
              <w:jc w:val="both"/>
              <w:rPr>
                <w:rFonts w:cs="Arial"/>
              </w:rPr>
            </w:pPr>
          </w:p>
        </w:tc>
      </w:tr>
      <w:tr w:rsidR="005246DA" w:rsidRPr="005246DA" w14:paraId="352E87E5" w14:textId="77777777" w:rsidTr="0084767B">
        <w:tc>
          <w:tcPr>
            <w:tcW w:w="817" w:type="dxa"/>
          </w:tcPr>
          <w:p w14:paraId="069C75E9" w14:textId="77777777" w:rsidR="005246DA" w:rsidRPr="005246DA" w:rsidRDefault="005246DA" w:rsidP="005246DA">
            <w:pPr>
              <w:spacing w:before="120" w:after="120"/>
              <w:ind w:right="142"/>
              <w:jc w:val="both"/>
              <w:rPr>
                <w:rFonts w:cs="Arial"/>
              </w:rPr>
            </w:pPr>
          </w:p>
        </w:tc>
        <w:tc>
          <w:tcPr>
            <w:tcW w:w="2552" w:type="dxa"/>
          </w:tcPr>
          <w:p w14:paraId="3B642DBB" w14:textId="77777777" w:rsidR="005246DA" w:rsidRPr="005246DA" w:rsidRDefault="005246DA" w:rsidP="005246DA">
            <w:pPr>
              <w:spacing w:before="120" w:after="120"/>
              <w:ind w:right="142"/>
              <w:jc w:val="both"/>
              <w:rPr>
                <w:rFonts w:cs="Arial"/>
              </w:rPr>
            </w:pPr>
          </w:p>
        </w:tc>
        <w:tc>
          <w:tcPr>
            <w:tcW w:w="6378" w:type="dxa"/>
          </w:tcPr>
          <w:p w14:paraId="0D3B40B8" w14:textId="77777777" w:rsidR="005246DA" w:rsidRPr="005246DA" w:rsidRDefault="005246DA" w:rsidP="005246DA">
            <w:pPr>
              <w:spacing w:before="120" w:after="120"/>
              <w:ind w:right="142"/>
              <w:jc w:val="both"/>
              <w:rPr>
                <w:rFonts w:cs="Arial"/>
              </w:rPr>
            </w:pPr>
          </w:p>
        </w:tc>
      </w:tr>
      <w:tr w:rsidR="005246DA" w:rsidRPr="005246DA" w14:paraId="71CCA064" w14:textId="77777777" w:rsidTr="0084767B">
        <w:tc>
          <w:tcPr>
            <w:tcW w:w="817" w:type="dxa"/>
          </w:tcPr>
          <w:p w14:paraId="552026BE" w14:textId="77777777" w:rsidR="005246DA" w:rsidRPr="005246DA" w:rsidRDefault="005246DA" w:rsidP="005246DA">
            <w:pPr>
              <w:spacing w:before="120" w:after="120"/>
              <w:ind w:right="142"/>
              <w:jc w:val="both"/>
              <w:rPr>
                <w:rFonts w:cs="Arial"/>
              </w:rPr>
            </w:pPr>
          </w:p>
        </w:tc>
        <w:tc>
          <w:tcPr>
            <w:tcW w:w="2552" w:type="dxa"/>
          </w:tcPr>
          <w:p w14:paraId="4D7B3CF6" w14:textId="77777777" w:rsidR="005246DA" w:rsidRPr="005246DA" w:rsidRDefault="005246DA" w:rsidP="005246DA">
            <w:pPr>
              <w:spacing w:before="120" w:after="120"/>
              <w:ind w:right="142"/>
              <w:jc w:val="both"/>
              <w:rPr>
                <w:rFonts w:cs="Arial"/>
              </w:rPr>
            </w:pPr>
          </w:p>
        </w:tc>
        <w:tc>
          <w:tcPr>
            <w:tcW w:w="6378" w:type="dxa"/>
          </w:tcPr>
          <w:p w14:paraId="0BDE7F77" w14:textId="77777777" w:rsidR="005246DA" w:rsidRPr="005246DA" w:rsidRDefault="005246DA" w:rsidP="005246DA">
            <w:pPr>
              <w:spacing w:before="120" w:after="120"/>
              <w:ind w:right="142"/>
              <w:jc w:val="both"/>
              <w:rPr>
                <w:rFonts w:cs="Arial"/>
              </w:rPr>
            </w:pPr>
          </w:p>
        </w:tc>
      </w:tr>
      <w:tr w:rsidR="005246DA" w:rsidRPr="005246DA" w14:paraId="3009B1A4" w14:textId="77777777" w:rsidTr="0084767B">
        <w:tc>
          <w:tcPr>
            <w:tcW w:w="817" w:type="dxa"/>
          </w:tcPr>
          <w:p w14:paraId="523203F4" w14:textId="77777777" w:rsidR="005246DA" w:rsidRPr="005246DA" w:rsidRDefault="005246DA" w:rsidP="005246DA">
            <w:pPr>
              <w:spacing w:before="120" w:after="120"/>
              <w:ind w:right="142"/>
              <w:jc w:val="both"/>
              <w:rPr>
                <w:rFonts w:cs="Arial"/>
              </w:rPr>
            </w:pPr>
          </w:p>
        </w:tc>
        <w:tc>
          <w:tcPr>
            <w:tcW w:w="2552" w:type="dxa"/>
          </w:tcPr>
          <w:p w14:paraId="63CE8992" w14:textId="77777777" w:rsidR="005246DA" w:rsidRPr="005246DA" w:rsidRDefault="005246DA" w:rsidP="005246DA">
            <w:pPr>
              <w:spacing w:before="120" w:after="120"/>
              <w:ind w:right="142"/>
              <w:jc w:val="both"/>
              <w:rPr>
                <w:rFonts w:cs="Arial"/>
              </w:rPr>
            </w:pPr>
          </w:p>
        </w:tc>
        <w:tc>
          <w:tcPr>
            <w:tcW w:w="6378" w:type="dxa"/>
          </w:tcPr>
          <w:p w14:paraId="05808F64" w14:textId="77777777" w:rsidR="005246DA" w:rsidRPr="005246DA" w:rsidRDefault="005246DA" w:rsidP="005246DA">
            <w:pPr>
              <w:spacing w:before="120" w:after="120"/>
              <w:ind w:right="142"/>
              <w:jc w:val="both"/>
              <w:rPr>
                <w:rFonts w:cs="Arial"/>
              </w:rPr>
            </w:pPr>
          </w:p>
        </w:tc>
      </w:tr>
      <w:tr w:rsidR="005246DA" w:rsidRPr="005246DA" w14:paraId="69DC8DE2" w14:textId="77777777" w:rsidTr="0084767B">
        <w:tc>
          <w:tcPr>
            <w:tcW w:w="817" w:type="dxa"/>
          </w:tcPr>
          <w:p w14:paraId="7EF0B0E6" w14:textId="77777777" w:rsidR="005246DA" w:rsidRPr="005246DA" w:rsidRDefault="005246DA" w:rsidP="005246DA">
            <w:pPr>
              <w:spacing w:before="120" w:after="120"/>
              <w:ind w:right="142"/>
              <w:jc w:val="both"/>
              <w:rPr>
                <w:rFonts w:cs="Arial"/>
              </w:rPr>
            </w:pPr>
          </w:p>
        </w:tc>
        <w:tc>
          <w:tcPr>
            <w:tcW w:w="2552" w:type="dxa"/>
          </w:tcPr>
          <w:p w14:paraId="72BF5CF7" w14:textId="77777777" w:rsidR="005246DA" w:rsidRPr="005246DA" w:rsidRDefault="005246DA" w:rsidP="005246DA">
            <w:pPr>
              <w:spacing w:before="120" w:after="120"/>
              <w:ind w:right="142"/>
              <w:jc w:val="both"/>
              <w:rPr>
                <w:rFonts w:cs="Arial"/>
              </w:rPr>
            </w:pPr>
          </w:p>
        </w:tc>
        <w:tc>
          <w:tcPr>
            <w:tcW w:w="6378" w:type="dxa"/>
          </w:tcPr>
          <w:p w14:paraId="325E61D9" w14:textId="77777777" w:rsidR="005246DA" w:rsidRPr="005246DA" w:rsidRDefault="005246DA" w:rsidP="005246DA">
            <w:pPr>
              <w:spacing w:before="120" w:after="120"/>
              <w:ind w:right="142"/>
              <w:jc w:val="both"/>
              <w:rPr>
                <w:rFonts w:cs="Arial"/>
              </w:rPr>
            </w:pPr>
          </w:p>
        </w:tc>
      </w:tr>
      <w:tr w:rsidR="005246DA" w:rsidRPr="005246DA" w14:paraId="77F6CE39" w14:textId="77777777" w:rsidTr="0084767B">
        <w:tc>
          <w:tcPr>
            <w:tcW w:w="817" w:type="dxa"/>
          </w:tcPr>
          <w:p w14:paraId="4D3BFEF4" w14:textId="77777777" w:rsidR="005246DA" w:rsidRPr="005246DA" w:rsidRDefault="005246DA" w:rsidP="005246DA">
            <w:pPr>
              <w:spacing w:before="120" w:after="120"/>
              <w:ind w:right="142"/>
              <w:jc w:val="both"/>
              <w:rPr>
                <w:rFonts w:cs="Arial"/>
              </w:rPr>
            </w:pPr>
          </w:p>
        </w:tc>
        <w:tc>
          <w:tcPr>
            <w:tcW w:w="2552" w:type="dxa"/>
          </w:tcPr>
          <w:p w14:paraId="11B0A70B" w14:textId="77777777" w:rsidR="005246DA" w:rsidRPr="005246DA" w:rsidRDefault="005246DA" w:rsidP="005246DA">
            <w:pPr>
              <w:spacing w:before="120" w:after="120"/>
              <w:ind w:right="142"/>
              <w:jc w:val="both"/>
              <w:rPr>
                <w:rFonts w:cs="Arial"/>
              </w:rPr>
            </w:pPr>
          </w:p>
        </w:tc>
        <w:tc>
          <w:tcPr>
            <w:tcW w:w="6378" w:type="dxa"/>
          </w:tcPr>
          <w:p w14:paraId="410500A7" w14:textId="77777777" w:rsidR="005246DA" w:rsidRPr="005246DA" w:rsidRDefault="005246DA" w:rsidP="005246DA">
            <w:pPr>
              <w:spacing w:before="120" w:after="120"/>
              <w:ind w:right="142"/>
              <w:jc w:val="both"/>
              <w:rPr>
                <w:rFonts w:cs="Arial"/>
              </w:rPr>
            </w:pPr>
          </w:p>
        </w:tc>
      </w:tr>
    </w:tbl>
    <w:p w14:paraId="6BCBEA4C" w14:textId="77777777" w:rsidR="005246DA" w:rsidRDefault="005246DA" w:rsidP="005246DA">
      <w:pPr>
        <w:ind w:right="142"/>
        <w:rPr>
          <w:rFonts w:cs="Arial"/>
          <w:color w:val="00396C"/>
          <w:sz w:val="24"/>
          <w:szCs w:val="32"/>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246DA" w:rsidRPr="005246DA" w14:paraId="64AADCE4" w14:textId="77777777" w:rsidTr="005246DA">
        <w:trPr>
          <w:trHeight w:val="73"/>
        </w:trPr>
        <w:tc>
          <w:tcPr>
            <w:tcW w:w="4788" w:type="dxa"/>
          </w:tcPr>
          <w:p w14:paraId="17C64A2D" w14:textId="77777777" w:rsidR="005246DA" w:rsidRPr="005246DA" w:rsidRDefault="005246DA" w:rsidP="005246DA">
            <w:pPr>
              <w:spacing w:before="120" w:after="240"/>
              <w:ind w:right="144"/>
              <w:jc w:val="both"/>
              <w:rPr>
                <w:rFonts w:cs="Arial"/>
                <w:b/>
              </w:rPr>
            </w:pPr>
            <w:r w:rsidRPr="005246DA">
              <w:rPr>
                <w:rFonts w:cs="Arial"/>
                <w:b/>
              </w:rPr>
              <w:t>[Homeowner]</w:t>
            </w:r>
          </w:p>
          <w:p w14:paraId="194917D8" w14:textId="77777777" w:rsidR="005246DA" w:rsidRPr="005246DA" w:rsidRDefault="005246DA" w:rsidP="005246DA">
            <w:pPr>
              <w:spacing w:before="120" w:after="240"/>
              <w:ind w:right="144"/>
              <w:jc w:val="both"/>
              <w:rPr>
                <w:rFonts w:cs="Arial"/>
              </w:rPr>
            </w:pPr>
            <w:r w:rsidRPr="005246DA">
              <w:rPr>
                <w:rFonts w:cs="Arial"/>
              </w:rPr>
              <w:t>_________________________________</w:t>
            </w:r>
          </w:p>
          <w:p w14:paraId="24247CFB" w14:textId="77777777" w:rsidR="005246DA" w:rsidRPr="005246DA" w:rsidRDefault="005246DA" w:rsidP="005246DA">
            <w:pPr>
              <w:spacing w:before="120" w:after="240"/>
              <w:ind w:right="144"/>
              <w:jc w:val="both"/>
              <w:rPr>
                <w:rFonts w:cs="Arial"/>
              </w:rPr>
            </w:pPr>
            <w:r w:rsidRPr="005246DA">
              <w:rPr>
                <w:rFonts w:cs="Arial"/>
              </w:rPr>
              <w:t>Name:</w:t>
            </w:r>
          </w:p>
          <w:p w14:paraId="654177B7" w14:textId="693D09ED" w:rsidR="005246DA" w:rsidRPr="005246DA" w:rsidRDefault="00101DD3" w:rsidP="005246DA">
            <w:pPr>
              <w:spacing w:before="120" w:after="240"/>
              <w:ind w:right="144"/>
              <w:jc w:val="both"/>
              <w:rPr>
                <w:rFonts w:cs="Arial"/>
              </w:rPr>
            </w:pPr>
            <w:r>
              <w:rPr>
                <w:rFonts w:cs="Arial"/>
              </w:rPr>
              <w:br/>
            </w:r>
            <w:r w:rsidR="005246DA" w:rsidRPr="005246DA">
              <w:rPr>
                <w:rFonts w:cs="Arial"/>
              </w:rPr>
              <w:t>_________________________________</w:t>
            </w:r>
          </w:p>
          <w:p w14:paraId="08A658CE" w14:textId="4D371DC8" w:rsidR="005246DA" w:rsidRPr="005246DA" w:rsidRDefault="005246DA" w:rsidP="005246DA">
            <w:pPr>
              <w:spacing w:before="120" w:after="240"/>
              <w:ind w:right="144"/>
              <w:jc w:val="both"/>
              <w:rPr>
                <w:rFonts w:cs="Arial"/>
              </w:rPr>
            </w:pPr>
            <w:r w:rsidRPr="005246DA">
              <w:rPr>
                <w:rFonts w:cs="Arial"/>
              </w:rPr>
              <w:t>Name:</w:t>
            </w:r>
          </w:p>
        </w:tc>
        <w:tc>
          <w:tcPr>
            <w:tcW w:w="4788" w:type="dxa"/>
          </w:tcPr>
          <w:p w14:paraId="70A9915A" w14:textId="77777777" w:rsidR="005246DA" w:rsidRPr="005246DA" w:rsidRDefault="005246DA" w:rsidP="005246DA">
            <w:pPr>
              <w:spacing w:before="120" w:after="240"/>
              <w:ind w:right="144"/>
              <w:jc w:val="both"/>
              <w:rPr>
                <w:rFonts w:cs="Arial"/>
                <w:b/>
              </w:rPr>
            </w:pPr>
            <w:r w:rsidRPr="005246DA">
              <w:rPr>
                <w:rFonts w:cs="Arial"/>
                <w:b/>
              </w:rPr>
              <w:t>[Builder]</w:t>
            </w:r>
          </w:p>
          <w:p w14:paraId="359A1769" w14:textId="77777777" w:rsidR="005246DA" w:rsidRPr="005246DA" w:rsidRDefault="005246DA" w:rsidP="005246DA">
            <w:pPr>
              <w:spacing w:before="120" w:after="240"/>
              <w:ind w:right="144"/>
              <w:jc w:val="both"/>
              <w:rPr>
                <w:rFonts w:cs="Arial"/>
              </w:rPr>
            </w:pPr>
            <w:r w:rsidRPr="005246DA">
              <w:rPr>
                <w:rFonts w:cs="Arial"/>
              </w:rPr>
              <w:t>_________________________________</w:t>
            </w:r>
          </w:p>
          <w:p w14:paraId="32737EB2" w14:textId="186D11D0" w:rsidR="005246DA" w:rsidRPr="005246DA" w:rsidRDefault="005246DA" w:rsidP="005246DA">
            <w:pPr>
              <w:spacing w:before="120" w:after="240"/>
              <w:ind w:right="144"/>
              <w:jc w:val="both"/>
              <w:rPr>
                <w:rFonts w:cs="Arial"/>
              </w:rPr>
            </w:pPr>
            <w:r w:rsidRPr="005246DA">
              <w:rPr>
                <w:rFonts w:cs="Arial"/>
              </w:rPr>
              <w:t>Name:</w:t>
            </w:r>
            <w:r>
              <w:rPr>
                <w:rFonts w:cs="Arial"/>
              </w:rPr>
              <w:br/>
            </w:r>
            <w:r w:rsidRPr="005246DA">
              <w:rPr>
                <w:rFonts w:cs="Arial"/>
              </w:rPr>
              <w:t>Title:</w:t>
            </w:r>
          </w:p>
          <w:p w14:paraId="39F3F873" w14:textId="663D8386" w:rsidR="005246DA" w:rsidRPr="005246DA" w:rsidRDefault="005246DA" w:rsidP="005246DA">
            <w:pPr>
              <w:spacing w:before="120" w:after="240"/>
              <w:ind w:right="144"/>
              <w:jc w:val="both"/>
              <w:rPr>
                <w:rFonts w:cs="Arial"/>
              </w:rPr>
            </w:pPr>
            <w:r w:rsidRPr="005246DA">
              <w:rPr>
                <w:rFonts w:cs="Arial"/>
              </w:rPr>
              <w:t>_________________________________</w:t>
            </w:r>
          </w:p>
          <w:p w14:paraId="7D37E721" w14:textId="52FE911C" w:rsidR="005246DA" w:rsidRPr="005246DA" w:rsidRDefault="005246DA" w:rsidP="005246DA">
            <w:pPr>
              <w:spacing w:before="120" w:after="240"/>
              <w:ind w:right="144"/>
              <w:jc w:val="both"/>
              <w:rPr>
                <w:rFonts w:cs="Arial"/>
              </w:rPr>
            </w:pPr>
            <w:r w:rsidRPr="005246DA">
              <w:rPr>
                <w:rFonts w:cs="Arial"/>
              </w:rPr>
              <w:t>Name:</w:t>
            </w:r>
            <w:r w:rsidR="00101DD3">
              <w:rPr>
                <w:rFonts w:cs="Arial"/>
              </w:rPr>
              <w:br/>
            </w:r>
            <w:r w:rsidRPr="005246DA">
              <w:rPr>
                <w:rFonts w:cs="Arial"/>
              </w:rPr>
              <w:t>Title:</w:t>
            </w:r>
            <w:r w:rsidR="00101DD3">
              <w:rPr>
                <w:rFonts w:cs="Arial"/>
              </w:rPr>
              <w:br/>
            </w:r>
            <w:r w:rsidR="00101DD3">
              <w:rPr>
                <w:rFonts w:cs="Arial"/>
              </w:rPr>
              <w:br/>
            </w:r>
            <w:r w:rsidRPr="005246DA">
              <w:rPr>
                <w:rFonts w:cs="Arial"/>
              </w:rPr>
              <w:t>I/we have authority to bind the Corporation.</w:t>
            </w:r>
          </w:p>
        </w:tc>
      </w:tr>
    </w:tbl>
    <w:p w14:paraId="20980A25" w14:textId="77777777" w:rsidR="00672B31" w:rsidRDefault="00672B31" w:rsidP="00672B31">
      <w:pPr>
        <w:ind w:right="142"/>
        <w:jc w:val="center"/>
        <w:rPr>
          <w:rFonts w:cs="Arial"/>
          <w:b/>
          <w:color w:val="00396C"/>
          <w:sz w:val="24"/>
          <w:szCs w:val="32"/>
          <w:lang w:bidi="en-US"/>
        </w:rPr>
      </w:pPr>
      <w:r>
        <w:rPr>
          <w:rFonts w:cs="Arial"/>
          <w:b/>
          <w:color w:val="00396C"/>
          <w:sz w:val="24"/>
          <w:szCs w:val="32"/>
          <w:lang w:bidi="en-US"/>
        </w:rPr>
        <w:t>Appendix C</w:t>
      </w:r>
    </w:p>
    <w:p w14:paraId="5B9C91F3" w14:textId="4AD1D16C" w:rsidR="00672B31" w:rsidRDefault="00672B31" w:rsidP="00672B31">
      <w:pPr>
        <w:ind w:right="142"/>
        <w:jc w:val="center"/>
        <w:rPr>
          <w:rFonts w:cs="Arial"/>
          <w:b/>
          <w:caps/>
        </w:rPr>
      </w:pPr>
      <w:r>
        <w:rPr>
          <w:rFonts w:cs="Arial"/>
          <w:b/>
          <w:color w:val="00396C"/>
          <w:sz w:val="24"/>
          <w:szCs w:val="32"/>
          <w:lang w:bidi="en-US"/>
        </w:rPr>
        <w:t>Repair Agreement – Common Elements</w:t>
      </w:r>
    </w:p>
    <w:p w14:paraId="0F5E39E5" w14:textId="77777777" w:rsidR="005246DA" w:rsidRDefault="005246DA" w:rsidP="005246DA">
      <w:pPr>
        <w:ind w:right="142"/>
        <w:rPr>
          <w:rFonts w:cs="Arial"/>
          <w:szCs w:val="32"/>
          <w:lang w:bidi="en-US"/>
        </w:rPr>
      </w:pPr>
    </w:p>
    <w:p w14:paraId="2AEE21E8" w14:textId="77777777" w:rsidR="00672B31" w:rsidRDefault="00672B31" w:rsidP="005246DA">
      <w:pPr>
        <w:ind w:right="142"/>
        <w:rPr>
          <w:rFonts w:cs="Arial"/>
          <w:szCs w:val="32"/>
          <w:lang w:bidi="en-US"/>
        </w:rPr>
      </w:pPr>
    </w:p>
    <w:p w14:paraId="4E4622C1" w14:textId="77777777" w:rsidR="00672B31" w:rsidRPr="00672B31" w:rsidRDefault="00672B31" w:rsidP="00672B31">
      <w:pPr>
        <w:ind w:right="142"/>
        <w:rPr>
          <w:rFonts w:cs="Arial"/>
          <w:szCs w:val="32"/>
          <w:lang w:bidi="en-US"/>
        </w:rPr>
      </w:pPr>
      <w:r w:rsidRPr="00672B31">
        <w:rPr>
          <w:rFonts w:cs="Arial"/>
          <w:b/>
          <w:szCs w:val="32"/>
          <w:lang w:bidi="en-US"/>
        </w:rPr>
        <w:t>Between:</w:t>
      </w:r>
      <w:r w:rsidRPr="00672B31">
        <w:rPr>
          <w:rFonts w:cs="Arial"/>
          <w:szCs w:val="32"/>
          <w:lang w:bidi="en-US"/>
        </w:rPr>
        <w:t xml:space="preserve">  __________________________________________ (the “Builder”)</w:t>
      </w:r>
    </w:p>
    <w:p w14:paraId="73B02592" w14:textId="77777777" w:rsidR="00672B31" w:rsidRPr="00672B31" w:rsidRDefault="00672B31" w:rsidP="00672B31">
      <w:pPr>
        <w:ind w:right="142"/>
        <w:rPr>
          <w:rFonts w:cs="Arial"/>
          <w:szCs w:val="32"/>
          <w:lang w:bidi="en-US"/>
        </w:rPr>
      </w:pPr>
    </w:p>
    <w:p w14:paraId="479E3B9D" w14:textId="77777777" w:rsidR="00672B31" w:rsidRPr="00672B31" w:rsidRDefault="00672B31" w:rsidP="00672B31">
      <w:pPr>
        <w:ind w:right="142"/>
        <w:rPr>
          <w:rFonts w:cs="Arial"/>
          <w:b/>
          <w:szCs w:val="32"/>
          <w:lang w:bidi="en-US"/>
        </w:rPr>
      </w:pPr>
    </w:p>
    <w:p w14:paraId="1C61CD54" w14:textId="77777777" w:rsidR="00672B31" w:rsidRPr="00672B31" w:rsidRDefault="00672B31" w:rsidP="00672B31">
      <w:pPr>
        <w:ind w:right="142"/>
        <w:rPr>
          <w:rFonts w:cs="Arial"/>
          <w:szCs w:val="32"/>
          <w:lang w:bidi="en-US"/>
        </w:rPr>
      </w:pPr>
      <w:r w:rsidRPr="00672B31">
        <w:rPr>
          <w:rFonts w:cs="Arial"/>
          <w:b/>
          <w:szCs w:val="32"/>
          <w:lang w:bidi="en-US"/>
        </w:rPr>
        <w:t>And:</w:t>
      </w:r>
      <w:r w:rsidRPr="00672B31">
        <w:rPr>
          <w:rFonts w:cs="Arial"/>
          <w:szCs w:val="32"/>
          <w:lang w:bidi="en-US"/>
        </w:rPr>
        <w:t xml:space="preserve">          __________________________________________ (the “Condominium Corporation”)</w:t>
      </w:r>
    </w:p>
    <w:p w14:paraId="6F0EDA71" w14:textId="77777777" w:rsidR="00672B31" w:rsidRPr="00672B31" w:rsidRDefault="00672B31" w:rsidP="00672B31">
      <w:pPr>
        <w:ind w:right="142"/>
        <w:rPr>
          <w:rFonts w:cs="Arial"/>
          <w:szCs w:val="32"/>
          <w:lang w:bidi="en-US"/>
        </w:rPr>
      </w:pPr>
    </w:p>
    <w:p w14:paraId="27DF1378" w14:textId="77777777" w:rsidR="00672B31" w:rsidRPr="00672B31" w:rsidRDefault="00672B31" w:rsidP="00672B31">
      <w:pPr>
        <w:ind w:right="142"/>
        <w:rPr>
          <w:rFonts w:cs="Arial"/>
          <w:b/>
          <w:szCs w:val="32"/>
          <w:lang w:bidi="en-US"/>
        </w:rPr>
      </w:pPr>
    </w:p>
    <w:p w14:paraId="33FAA428" w14:textId="77777777" w:rsidR="00672B31" w:rsidRPr="00672B31" w:rsidRDefault="00672B31" w:rsidP="00672B31">
      <w:pPr>
        <w:ind w:right="142"/>
        <w:rPr>
          <w:rFonts w:cs="Arial"/>
          <w:szCs w:val="32"/>
          <w:lang w:bidi="en-US"/>
        </w:rPr>
      </w:pPr>
      <w:r w:rsidRPr="00672B31">
        <w:rPr>
          <w:rFonts w:cs="Arial"/>
          <w:b/>
          <w:szCs w:val="32"/>
          <w:lang w:bidi="en-US"/>
        </w:rPr>
        <w:t>RE:</w:t>
      </w:r>
      <w:r w:rsidRPr="00672B31">
        <w:rPr>
          <w:rFonts w:cs="Arial"/>
          <w:szCs w:val="32"/>
          <w:lang w:bidi="en-US"/>
        </w:rPr>
        <w:t xml:space="preserve">            ____________________________________________ [condominium project address]</w:t>
      </w:r>
    </w:p>
    <w:p w14:paraId="317869E6" w14:textId="77777777" w:rsidR="00672B31" w:rsidRPr="00672B31" w:rsidRDefault="00672B31" w:rsidP="00672B31">
      <w:pPr>
        <w:ind w:right="142"/>
        <w:rPr>
          <w:rFonts w:cs="Arial"/>
          <w:szCs w:val="32"/>
          <w:lang w:bidi="en-US"/>
        </w:rPr>
      </w:pPr>
    </w:p>
    <w:p w14:paraId="73836E73" w14:textId="77777777" w:rsidR="00672B31" w:rsidRPr="00672B31" w:rsidRDefault="00672B31" w:rsidP="00672B31">
      <w:pPr>
        <w:ind w:right="142"/>
        <w:rPr>
          <w:rFonts w:cs="Arial"/>
          <w:szCs w:val="32"/>
          <w:lang w:bidi="en-US"/>
        </w:rPr>
      </w:pPr>
    </w:p>
    <w:p w14:paraId="14312013" w14:textId="77777777" w:rsidR="00672B31" w:rsidRPr="00672B31" w:rsidRDefault="00672B31" w:rsidP="00672B31">
      <w:pPr>
        <w:ind w:right="142"/>
        <w:rPr>
          <w:rFonts w:cs="Arial"/>
          <w:szCs w:val="32"/>
          <w:lang w:bidi="en-US"/>
        </w:rPr>
      </w:pPr>
      <w:r w:rsidRPr="00672B31">
        <w:rPr>
          <w:rFonts w:cs="Arial"/>
          <w:szCs w:val="32"/>
          <w:lang w:bidi="en-US"/>
        </w:rPr>
        <w:t xml:space="preserve">The parties agree to allow the Builder more time to make repairs to/resolve certain items on the following terms and conditions:  </w:t>
      </w:r>
    </w:p>
    <w:p w14:paraId="3BA83AC4" w14:textId="77777777" w:rsidR="00672B31" w:rsidRPr="00672B31" w:rsidRDefault="00672B31" w:rsidP="00672B31">
      <w:pPr>
        <w:ind w:right="142"/>
        <w:rPr>
          <w:rFonts w:cs="Arial"/>
          <w:szCs w:val="32"/>
          <w:lang w:bidi="en-US"/>
        </w:rPr>
      </w:pPr>
    </w:p>
    <w:p w14:paraId="3FE33E14" w14:textId="77777777" w:rsidR="00672B31" w:rsidRPr="00672B31" w:rsidRDefault="00672B31" w:rsidP="00672B31">
      <w:pPr>
        <w:numPr>
          <w:ilvl w:val="0"/>
          <w:numId w:val="42"/>
        </w:numPr>
        <w:ind w:right="142"/>
        <w:rPr>
          <w:rFonts w:cs="Arial"/>
          <w:szCs w:val="32"/>
          <w:lang w:bidi="en-US"/>
        </w:rPr>
      </w:pPr>
      <w:r w:rsidRPr="00672B31">
        <w:rPr>
          <w:rFonts w:cs="Arial"/>
          <w:szCs w:val="32"/>
          <w:lang w:bidi="en-US"/>
        </w:rPr>
        <w:t xml:space="preserve">The Condominium Corporation has submitted a ______________________________ </w:t>
      </w:r>
      <w:r w:rsidRPr="00672B31">
        <w:rPr>
          <w:rFonts w:cs="Arial"/>
          <w:b/>
          <w:szCs w:val="32"/>
          <w:lang w:bidi="en-US"/>
        </w:rPr>
        <w:t xml:space="preserve">[specify form] </w:t>
      </w:r>
      <w:r w:rsidRPr="00672B31">
        <w:rPr>
          <w:rFonts w:cs="Arial"/>
          <w:szCs w:val="32"/>
          <w:lang w:bidi="en-US"/>
        </w:rPr>
        <w:t xml:space="preserve">on ____________________ </w:t>
      </w:r>
      <w:r w:rsidRPr="00672B31">
        <w:rPr>
          <w:rFonts w:cs="Arial"/>
          <w:b/>
          <w:szCs w:val="32"/>
          <w:lang w:bidi="en-US"/>
        </w:rPr>
        <w:t xml:space="preserve">[specify date] </w:t>
      </w:r>
      <w:r w:rsidRPr="00672B31">
        <w:rPr>
          <w:rFonts w:cs="Arial"/>
          <w:szCs w:val="32"/>
          <w:lang w:bidi="en-US"/>
        </w:rPr>
        <w:t>(the “Statutory Warranty Form”) to Tarion Warranty Corporation (“Tarion”).</w:t>
      </w:r>
    </w:p>
    <w:p w14:paraId="0BD16D0B" w14:textId="77777777" w:rsidR="00672B31" w:rsidRPr="00672B31" w:rsidRDefault="00672B31" w:rsidP="00672B31">
      <w:pPr>
        <w:ind w:right="142"/>
        <w:rPr>
          <w:rFonts w:cs="Arial"/>
          <w:szCs w:val="32"/>
          <w:lang w:bidi="en-US"/>
        </w:rPr>
      </w:pPr>
    </w:p>
    <w:p w14:paraId="7C51086C" w14:textId="77777777" w:rsidR="00672B31" w:rsidRPr="00672B31" w:rsidRDefault="00672B31" w:rsidP="00672B31">
      <w:pPr>
        <w:numPr>
          <w:ilvl w:val="0"/>
          <w:numId w:val="42"/>
        </w:numPr>
        <w:ind w:right="142"/>
        <w:rPr>
          <w:rFonts w:cs="Arial"/>
          <w:szCs w:val="32"/>
          <w:u w:val="single"/>
          <w:lang w:bidi="en-US"/>
        </w:rPr>
      </w:pPr>
      <w:r w:rsidRPr="00672B31">
        <w:rPr>
          <w:rFonts w:cs="Arial"/>
          <w:szCs w:val="32"/>
          <w:lang w:bidi="en-US"/>
        </w:rPr>
        <w:t xml:space="preserve">The items listed in Schedule “A” to this agreement (the “Outstanding Items”), were listed on the Statutory Warranty Form and have not yet been resolved.  The Builder has agreed to repair or resolve the Outstanding Items by the Repair Deadline of ______________________ </w:t>
      </w:r>
      <w:r w:rsidRPr="00672B31">
        <w:rPr>
          <w:rFonts w:cs="Arial"/>
          <w:b/>
          <w:szCs w:val="32"/>
          <w:lang w:bidi="en-US"/>
        </w:rPr>
        <w:t>[specify date]</w:t>
      </w:r>
      <w:r w:rsidRPr="00672B31">
        <w:rPr>
          <w:rFonts w:cs="Arial"/>
          <w:szCs w:val="32"/>
          <w:lang w:bidi="en-US"/>
        </w:rPr>
        <w:t xml:space="preserve">.  </w:t>
      </w:r>
    </w:p>
    <w:p w14:paraId="4BBD17BC" w14:textId="77777777" w:rsidR="00672B31" w:rsidRPr="00672B31" w:rsidRDefault="00672B31" w:rsidP="00672B31">
      <w:pPr>
        <w:ind w:right="142"/>
        <w:rPr>
          <w:rFonts w:cs="Arial"/>
          <w:szCs w:val="32"/>
          <w:lang w:bidi="en-US"/>
        </w:rPr>
      </w:pPr>
    </w:p>
    <w:p w14:paraId="304474EB" w14:textId="77777777" w:rsidR="00672B31" w:rsidRPr="00672B31" w:rsidRDefault="00672B31" w:rsidP="00672B31">
      <w:pPr>
        <w:numPr>
          <w:ilvl w:val="0"/>
          <w:numId w:val="42"/>
        </w:numPr>
        <w:ind w:right="142"/>
        <w:rPr>
          <w:rFonts w:cs="Arial"/>
          <w:szCs w:val="32"/>
          <w:lang w:bidi="en-US"/>
        </w:rPr>
      </w:pPr>
      <w:r w:rsidRPr="00672B31">
        <w:rPr>
          <w:rFonts w:cs="Arial"/>
          <w:szCs w:val="32"/>
          <w:lang w:bidi="en-US"/>
        </w:rPr>
        <w:t xml:space="preserve">If the Repair Deadline passes and the Condominium Corporation is not satisfied with the Builder’s efforts, the Condominium Corporation can request a conciliation on any/all of the Outstanding Items, so long as that request is made to Tarion within 30 days after the Repair Deadline – i.e., between ______________________ </w:t>
      </w:r>
      <w:r w:rsidRPr="00672B31">
        <w:rPr>
          <w:rFonts w:cs="Arial"/>
          <w:b/>
          <w:szCs w:val="32"/>
          <w:lang w:bidi="en-US"/>
        </w:rPr>
        <w:t>[date]</w:t>
      </w:r>
      <w:r w:rsidRPr="00672B31">
        <w:rPr>
          <w:rFonts w:cs="Arial"/>
          <w:szCs w:val="32"/>
          <w:lang w:bidi="en-US"/>
        </w:rPr>
        <w:t xml:space="preserve"> and __________________________ </w:t>
      </w:r>
      <w:r w:rsidRPr="00672B31">
        <w:rPr>
          <w:rFonts w:cs="Arial"/>
          <w:b/>
          <w:szCs w:val="32"/>
          <w:lang w:bidi="en-US"/>
        </w:rPr>
        <w:t>[date]</w:t>
      </w:r>
      <w:r w:rsidRPr="00672B31">
        <w:rPr>
          <w:rFonts w:cs="Arial"/>
          <w:szCs w:val="32"/>
          <w:lang w:bidi="en-US"/>
        </w:rPr>
        <w:t xml:space="preserve"> (the “Conciliation Request Timeframe”).</w:t>
      </w:r>
    </w:p>
    <w:p w14:paraId="4D462B3F" w14:textId="77777777" w:rsidR="00672B31" w:rsidRPr="00672B31" w:rsidRDefault="00672B31" w:rsidP="00672B31">
      <w:pPr>
        <w:ind w:right="142"/>
        <w:rPr>
          <w:rFonts w:cs="Arial"/>
          <w:szCs w:val="32"/>
          <w:lang w:bidi="en-US"/>
        </w:rPr>
      </w:pPr>
    </w:p>
    <w:p w14:paraId="17F5DB7E" w14:textId="77777777" w:rsidR="00672B31" w:rsidRPr="00672B31" w:rsidRDefault="00672B31" w:rsidP="00672B31">
      <w:pPr>
        <w:numPr>
          <w:ilvl w:val="0"/>
          <w:numId w:val="42"/>
        </w:numPr>
        <w:ind w:right="142"/>
        <w:rPr>
          <w:rFonts w:cs="Arial"/>
          <w:szCs w:val="32"/>
          <w:lang w:bidi="en-US"/>
        </w:rPr>
      </w:pPr>
      <w:r w:rsidRPr="00672B31">
        <w:rPr>
          <w:rFonts w:cs="Arial"/>
          <w:szCs w:val="32"/>
          <w:lang w:bidi="en-US"/>
        </w:rPr>
        <w:t xml:space="preserve">If the Condominium Corporation does not contact Tarion within the Conciliation Request Timeframe to request a conciliation, the Condominium Corporation will be </w:t>
      </w:r>
      <w:r w:rsidRPr="00672B31">
        <w:rPr>
          <w:rFonts w:cs="Arial"/>
          <w:szCs w:val="32"/>
          <w:u w:val="single"/>
          <w:lang w:bidi="en-US"/>
        </w:rPr>
        <w:t>deemed to have withdrawn</w:t>
      </w:r>
      <w:r w:rsidRPr="00672B31">
        <w:rPr>
          <w:rFonts w:cs="Arial"/>
          <w:szCs w:val="32"/>
          <w:lang w:bidi="en-US"/>
        </w:rPr>
        <w:t xml:space="preserve"> all warranty claims for the Outstanding Items, (i.e., the statutory warranties </w:t>
      </w:r>
      <w:r w:rsidRPr="00672B31">
        <w:rPr>
          <w:rFonts w:cs="Arial"/>
          <w:szCs w:val="32"/>
          <w:u w:val="single"/>
          <w:lang w:bidi="en-US"/>
        </w:rPr>
        <w:t>will no longer apply</w:t>
      </w:r>
      <w:r w:rsidRPr="00672B31">
        <w:rPr>
          <w:rFonts w:cs="Arial"/>
          <w:szCs w:val="32"/>
          <w:lang w:bidi="en-US"/>
        </w:rPr>
        <w:t xml:space="preserve"> to the Outstanding Items).   </w:t>
      </w:r>
    </w:p>
    <w:p w14:paraId="4DF22ED0" w14:textId="77777777" w:rsidR="00672B31" w:rsidRPr="00672B31" w:rsidRDefault="00672B31" w:rsidP="00672B31">
      <w:pPr>
        <w:ind w:right="142"/>
        <w:rPr>
          <w:rFonts w:cs="Arial"/>
          <w:szCs w:val="32"/>
          <w:lang w:bidi="en-US"/>
        </w:rPr>
      </w:pPr>
    </w:p>
    <w:p w14:paraId="35E466C7" w14:textId="77777777" w:rsidR="00FD6EB2" w:rsidRPr="00B81AF6" w:rsidRDefault="00FD6EB2" w:rsidP="00FD6EB2">
      <w:pPr>
        <w:pStyle w:val="ListParagraph"/>
        <w:numPr>
          <w:ilvl w:val="0"/>
          <w:numId w:val="42"/>
        </w:numPr>
        <w:spacing w:after="0" w:line="240" w:lineRule="auto"/>
        <w:ind w:right="142"/>
        <w:jc w:val="both"/>
        <w:rPr>
          <w:rFonts w:ascii="Arial" w:hAnsi="Arial" w:cs="Arial"/>
          <w:sz w:val="20"/>
        </w:rPr>
      </w:pPr>
      <w:r w:rsidRPr="00B81AF6">
        <w:rPr>
          <w:rFonts w:ascii="Arial" w:hAnsi="Arial" w:cs="Arial"/>
          <w:sz w:val="20"/>
        </w:rPr>
        <w:t>This agreement to extend the time to repair or resolve the Outstanding Items:</w:t>
      </w:r>
    </w:p>
    <w:p w14:paraId="1647AC0C" w14:textId="77777777" w:rsidR="00FD6EB2" w:rsidRPr="00B81AF6" w:rsidRDefault="00FD6EB2" w:rsidP="00FD6EB2">
      <w:pPr>
        <w:pStyle w:val="ListParagraph"/>
        <w:ind w:right="142"/>
        <w:jc w:val="both"/>
        <w:rPr>
          <w:rFonts w:ascii="Arial" w:hAnsi="Arial" w:cs="Arial"/>
          <w:sz w:val="20"/>
        </w:rPr>
      </w:pPr>
    </w:p>
    <w:p w14:paraId="56A01456" w14:textId="38E58F2A" w:rsidR="00FD6EB2" w:rsidRDefault="00FD6EB2" w:rsidP="00FD6EB2">
      <w:pPr>
        <w:pStyle w:val="ListParagraph"/>
        <w:numPr>
          <w:ilvl w:val="0"/>
          <w:numId w:val="41"/>
        </w:numPr>
        <w:spacing w:after="0" w:line="240" w:lineRule="auto"/>
        <w:ind w:right="142"/>
        <w:contextualSpacing w:val="0"/>
        <w:jc w:val="both"/>
        <w:rPr>
          <w:rFonts w:ascii="Arial" w:hAnsi="Arial" w:cs="Arial"/>
          <w:sz w:val="20"/>
        </w:rPr>
      </w:pPr>
      <w:r w:rsidRPr="008D19FA">
        <w:rPr>
          <w:rFonts w:ascii="Arial" w:hAnsi="Arial" w:cs="Arial"/>
          <w:sz w:val="20"/>
        </w:rPr>
        <w:t xml:space="preserve"> is not an a</w:t>
      </w:r>
      <w:r>
        <w:rPr>
          <w:rFonts w:ascii="Arial" w:hAnsi="Arial" w:cs="Arial"/>
          <w:sz w:val="20"/>
        </w:rPr>
        <w:t>cknowledgment</w:t>
      </w:r>
      <w:r w:rsidRPr="008D19FA">
        <w:rPr>
          <w:rFonts w:ascii="Arial" w:hAnsi="Arial" w:cs="Arial"/>
          <w:sz w:val="20"/>
        </w:rPr>
        <w:t xml:space="preserve"> that the Outstanding Items are warranted under the </w:t>
      </w:r>
      <w:r w:rsidRPr="008D19FA">
        <w:rPr>
          <w:rFonts w:ascii="Arial" w:hAnsi="Arial" w:cs="Arial"/>
          <w:i/>
          <w:sz w:val="20"/>
        </w:rPr>
        <w:t>Ontario New Home Warranties Plan Act,</w:t>
      </w:r>
      <w:r w:rsidRPr="008D19FA">
        <w:rPr>
          <w:rFonts w:ascii="Arial" w:hAnsi="Arial" w:cs="Arial"/>
          <w:sz w:val="20"/>
        </w:rPr>
        <w:t xml:space="preserve"> and warrantability can only be determined by Tarion if the conciliation takes place; and</w:t>
      </w:r>
      <w:r>
        <w:rPr>
          <w:rFonts w:ascii="Arial" w:hAnsi="Arial" w:cs="Arial"/>
          <w:sz w:val="20"/>
        </w:rPr>
        <w:br w:type="page"/>
      </w:r>
    </w:p>
    <w:p w14:paraId="706D4642" w14:textId="77777777" w:rsidR="00FD6EB2" w:rsidRPr="008D19FA" w:rsidRDefault="00FD6EB2" w:rsidP="00FD6EB2">
      <w:pPr>
        <w:pStyle w:val="ListParagraph"/>
        <w:numPr>
          <w:ilvl w:val="0"/>
          <w:numId w:val="41"/>
        </w:numPr>
        <w:spacing w:after="0" w:line="240" w:lineRule="auto"/>
        <w:ind w:right="142"/>
        <w:contextualSpacing w:val="0"/>
        <w:jc w:val="both"/>
        <w:rPr>
          <w:rFonts w:ascii="Arial" w:hAnsi="Arial" w:cs="Arial"/>
          <w:sz w:val="20"/>
        </w:rPr>
      </w:pPr>
      <w:r>
        <w:rPr>
          <w:rFonts w:ascii="Arial" w:hAnsi="Arial" w:cs="Arial"/>
          <w:sz w:val="20"/>
        </w:rPr>
        <w:t xml:space="preserve">does not </w:t>
      </w:r>
      <w:r w:rsidRPr="008D19FA">
        <w:rPr>
          <w:rFonts w:ascii="Arial" w:hAnsi="Arial" w:cs="Arial"/>
          <w:sz w:val="20"/>
        </w:rPr>
        <w:t xml:space="preserve">add to or take away from the </w:t>
      </w:r>
      <w:r>
        <w:rPr>
          <w:rFonts w:ascii="Arial" w:hAnsi="Arial" w:cs="Arial"/>
          <w:sz w:val="20"/>
        </w:rPr>
        <w:t>Condominium Corporation</w:t>
      </w:r>
      <w:r w:rsidRPr="008D19FA">
        <w:rPr>
          <w:rFonts w:ascii="Arial" w:hAnsi="Arial" w:cs="Arial"/>
          <w:sz w:val="20"/>
        </w:rPr>
        <w:t xml:space="preserve">’s </w:t>
      </w:r>
      <w:r>
        <w:rPr>
          <w:rFonts w:ascii="Arial" w:hAnsi="Arial" w:cs="Arial"/>
          <w:sz w:val="20"/>
        </w:rPr>
        <w:t xml:space="preserve">statutory </w:t>
      </w:r>
      <w:r w:rsidRPr="008D19FA">
        <w:rPr>
          <w:rFonts w:ascii="Arial" w:hAnsi="Arial" w:cs="Arial"/>
          <w:sz w:val="20"/>
        </w:rPr>
        <w:t>warranty rights as long as the</w:t>
      </w:r>
      <w:r>
        <w:rPr>
          <w:rFonts w:ascii="Arial" w:hAnsi="Arial" w:cs="Arial"/>
          <w:sz w:val="20"/>
        </w:rPr>
        <w:t xml:space="preserve"> Condominium Corporation requests</w:t>
      </w:r>
      <w:r w:rsidRPr="008D19FA">
        <w:rPr>
          <w:rFonts w:ascii="Arial" w:hAnsi="Arial" w:cs="Arial"/>
          <w:sz w:val="20"/>
        </w:rPr>
        <w:t xml:space="preserve"> conciliation </w:t>
      </w:r>
      <w:r>
        <w:rPr>
          <w:rFonts w:ascii="Arial" w:hAnsi="Arial" w:cs="Arial"/>
          <w:sz w:val="20"/>
        </w:rPr>
        <w:t xml:space="preserve">within the Conciliation Request Timeframe. </w:t>
      </w:r>
    </w:p>
    <w:p w14:paraId="2B2D3D80" w14:textId="77777777" w:rsidR="00FD6EB2" w:rsidRDefault="00FD6EB2" w:rsidP="00FD6EB2">
      <w:pPr>
        <w:ind w:right="-218"/>
        <w:jc w:val="both"/>
        <w:rPr>
          <w:rFonts w:cs="Arial"/>
        </w:rPr>
      </w:pPr>
    </w:p>
    <w:p w14:paraId="019D2428" w14:textId="77777777" w:rsidR="00FD6EB2" w:rsidRDefault="00FD6EB2" w:rsidP="00FD6EB2">
      <w:pPr>
        <w:ind w:right="-218"/>
        <w:jc w:val="both"/>
        <w:rPr>
          <w:rFonts w:cs="Arial"/>
        </w:rPr>
      </w:pPr>
    </w:p>
    <w:p w14:paraId="5A2DB86D" w14:textId="77777777" w:rsidR="00FD6EB2" w:rsidRDefault="00FD6EB2" w:rsidP="00FD6EB2">
      <w:pPr>
        <w:ind w:right="-218"/>
        <w:jc w:val="both"/>
        <w:rPr>
          <w:rFonts w:cs="Arial"/>
        </w:rPr>
      </w:pPr>
    </w:p>
    <w:p w14:paraId="2709121C" w14:textId="77777777" w:rsidR="00FD6EB2" w:rsidRPr="00B81AF6" w:rsidRDefault="00FD6EB2" w:rsidP="00FD6EB2">
      <w:pPr>
        <w:ind w:right="-218"/>
        <w:jc w:val="both"/>
        <w:rPr>
          <w:rFonts w:cs="Arial"/>
        </w:rPr>
      </w:pPr>
      <w:r w:rsidRPr="00B81AF6">
        <w:rPr>
          <w:rFonts w:cs="Arial"/>
        </w:rPr>
        <w:t>Date</w:t>
      </w:r>
      <w:r>
        <w:rPr>
          <w:rFonts w:cs="Arial"/>
        </w:rPr>
        <w:t>:</w:t>
      </w:r>
      <w:r w:rsidRPr="00B81AF6">
        <w:rPr>
          <w:rFonts w:cs="Arial"/>
        </w:rPr>
        <w:t xml:space="preserve"> _________________________________________</w:t>
      </w:r>
    </w:p>
    <w:p w14:paraId="220894F7" w14:textId="77777777" w:rsidR="00FD6EB2" w:rsidRPr="00B81AF6" w:rsidRDefault="00FD6EB2" w:rsidP="00FD6EB2">
      <w:pPr>
        <w:ind w:right="-218"/>
        <w:jc w:val="both"/>
        <w:rPr>
          <w:rFonts w:cs="Arial"/>
        </w:rPr>
      </w:pPr>
    </w:p>
    <w:p w14:paraId="3E478493" w14:textId="77777777" w:rsidR="00FD6EB2" w:rsidRPr="00B81AF6" w:rsidRDefault="00FD6EB2" w:rsidP="00FD6EB2">
      <w:pPr>
        <w:ind w:right="-218"/>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6EB2" w:rsidRPr="00B81AF6" w14:paraId="24C70938" w14:textId="77777777" w:rsidTr="0084767B">
        <w:tc>
          <w:tcPr>
            <w:tcW w:w="4788" w:type="dxa"/>
          </w:tcPr>
          <w:p w14:paraId="58B5C1C2" w14:textId="77777777" w:rsidR="00FD6EB2" w:rsidRPr="00B81AF6" w:rsidRDefault="00FD6EB2" w:rsidP="0084767B">
            <w:pPr>
              <w:ind w:right="-218"/>
              <w:jc w:val="both"/>
              <w:rPr>
                <w:rFonts w:cs="Arial"/>
                <w:b/>
              </w:rPr>
            </w:pPr>
            <w:r w:rsidRPr="00B81AF6">
              <w:rPr>
                <w:rFonts w:cs="Arial"/>
                <w:b/>
              </w:rPr>
              <w:t>[</w:t>
            </w:r>
            <w:r>
              <w:rPr>
                <w:rFonts w:cs="Arial"/>
                <w:b/>
              </w:rPr>
              <w:t>Condominium Corporation</w:t>
            </w:r>
            <w:r w:rsidRPr="00B81AF6">
              <w:rPr>
                <w:rFonts w:cs="Arial"/>
                <w:b/>
              </w:rPr>
              <w:t>]</w:t>
            </w:r>
          </w:p>
          <w:p w14:paraId="4FD71ED2" w14:textId="77777777" w:rsidR="00FD6EB2" w:rsidRPr="00B81AF6" w:rsidRDefault="00FD6EB2" w:rsidP="0084767B">
            <w:pPr>
              <w:ind w:right="-218"/>
              <w:jc w:val="both"/>
              <w:rPr>
                <w:rFonts w:cs="Arial"/>
                <w:b/>
              </w:rPr>
            </w:pPr>
          </w:p>
          <w:p w14:paraId="0AC634FC" w14:textId="77777777" w:rsidR="00FD6EB2" w:rsidRPr="00B81AF6" w:rsidRDefault="00FD6EB2" w:rsidP="0084767B">
            <w:pPr>
              <w:ind w:right="-218"/>
              <w:jc w:val="both"/>
              <w:rPr>
                <w:rFonts w:cs="Arial"/>
              </w:rPr>
            </w:pPr>
          </w:p>
          <w:p w14:paraId="70EB6117" w14:textId="77777777" w:rsidR="00FD6EB2" w:rsidRPr="00B81AF6" w:rsidRDefault="00FD6EB2" w:rsidP="0084767B">
            <w:pPr>
              <w:ind w:right="-218"/>
              <w:jc w:val="both"/>
              <w:rPr>
                <w:rFonts w:cs="Arial"/>
              </w:rPr>
            </w:pPr>
            <w:r w:rsidRPr="00B81AF6">
              <w:rPr>
                <w:rFonts w:cs="Arial"/>
              </w:rPr>
              <w:t>_________________________________</w:t>
            </w:r>
          </w:p>
          <w:p w14:paraId="10F89C61" w14:textId="77777777" w:rsidR="00FD6EB2" w:rsidRPr="00B81AF6" w:rsidRDefault="00FD6EB2" w:rsidP="0084767B">
            <w:pPr>
              <w:ind w:right="-218"/>
              <w:jc w:val="both"/>
              <w:rPr>
                <w:rFonts w:cs="Arial"/>
              </w:rPr>
            </w:pPr>
            <w:r w:rsidRPr="00B81AF6">
              <w:rPr>
                <w:rFonts w:cs="Arial"/>
              </w:rPr>
              <w:t>Name:</w:t>
            </w:r>
          </w:p>
          <w:p w14:paraId="2C93F3CE" w14:textId="77777777" w:rsidR="00FD6EB2" w:rsidRPr="00B81AF6" w:rsidRDefault="00FD6EB2" w:rsidP="0084767B">
            <w:pPr>
              <w:ind w:right="-218"/>
              <w:jc w:val="both"/>
              <w:rPr>
                <w:rFonts w:cs="Arial"/>
              </w:rPr>
            </w:pPr>
            <w:r>
              <w:rPr>
                <w:rFonts w:cs="Arial"/>
              </w:rPr>
              <w:t>Title:</w:t>
            </w:r>
            <w:r w:rsidRPr="00B81AF6">
              <w:rPr>
                <w:rFonts w:cs="Arial"/>
              </w:rPr>
              <w:t xml:space="preserve">      </w:t>
            </w:r>
          </w:p>
          <w:p w14:paraId="42FCF303" w14:textId="77777777" w:rsidR="00FD6EB2" w:rsidRPr="00B81AF6" w:rsidRDefault="00FD6EB2" w:rsidP="0084767B">
            <w:pPr>
              <w:ind w:right="-218"/>
              <w:jc w:val="both"/>
              <w:rPr>
                <w:rFonts w:cs="Arial"/>
              </w:rPr>
            </w:pPr>
          </w:p>
          <w:p w14:paraId="7D03975F" w14:textId="77777777" w:rsidR="00FD6EB2" w:rsidRPr="00B81AF6" w:rsidRDefault="00FD6EB2" w:rsidP="0084767B">
            <w:pPr>
              <w:ind w:right="-218"/>
              <w:jc w:val="both"/>
              <w:rPr>
                <w:rFonts w:cs="Arial"/>
              </w:rPr>
            </w:pPr>
            <w:r w:rsidRPr="00B81AF6">
              <w:rPr>
                <w:rFonts w:cs="Arial"/>
              </w:rPr>
              <w:t>_________________________________</w:t>
            </w:r>
          </w:p>
          <w:p w14:paraId="0DD31D30" w14:textId="77777777" w:rsidR="00FD6EB2" w:rsidRPr="00B81AF6" w:rsidRDefault="00FD6EB2" w:rsidP="0084767B">
            <w:pPr>
              <w:ind w:right="-218"/>
              <w:jc w:val="both"/>
              <w:rPr>
                <w:rFonts w:cs="Arial"/>
              </w:rPr>
            </w:pPr>
            <w:r w:rsidRPr="00B81AF6">
              <w:rPr>
                <w:rFonts w:cs="Arial"/>
              </w:rPr>
              <w:t>Name:</w:t>
            </w:r>
          </w:p>
          <w:p w14:paraId="77136FB5" w14:textId="77777777" w:rsidR="00FD6EB2" w:rsidRPr="00B81AF6" w:rsidRDefault="00FD6EB2" w:rsidP="0084767B">
            <w:pPr>
              <w:ind w:right="-218"/>
              <w:jc w:val="both"/>
              <w:rPr>
                <w:rFonts w:cs="Arial"/>
              </w:rPr>
            </w:pPr>
            <w:r>
              <w:rPr>
                <w:rFonts w:cs="Arial"/>
              </w:rPr>
              <w:t>Title:</w:t>
            </w:r>
            <w:r w:rsidRPr="00B81AF6">
              <w:rPr>
                <w:rFonts w:cs="Arial"/>
              </w:rPr>
              <w:t xml:space="preserve">      </w:t>
            </w:r>
          </w:p>
          <w:p w14:paraId="3FB17894" w14:textId="77777777" w:rsidR="00FD6EB2" w:rsidRPr="00B81AF6" w:rsidRDefault="00FD6EB2" w:rsidP="0084767B">
            <w:pPr>
              <w:ind w:right="-218"/>
              <w:jc w:val="both"/>
              <w:rPr>
                <w:rFonts w:cs="Arial"/>
              </w:rPr>
            </w:pPr>
          </w:p>
          <w:p w14:paraId="166B8921" w14:textId="77777777" w:rsidR="00FD6EB2" w:rsidRPr="00B81AF6" w:rsidRDefault="00FD6EB2" w:rsidP="0084767B">
            <w:pPr>
              <w:ind w:right="-218"/>
              <w:jc w:val="both"/>
              <w:rPr>
                <w:rFonts w:cs="Arial"/>
              </w:rPr>
            </w:pPr>
          </w:p>
          <w:p w14:paraId="367875C7" w14:textId="77777777" w:rsidR="00FD6EB2" w:rsidRPr="00B81AF6" w:rsidRDefault="00FD6EB2" w:rsidP="0084767B">
            <w:pPr>
              <w:ind w:right="-218"/>
              <w:jc w:val="both"/>
              <w:rPr>
                <w:rFonts w:cs="Arial"/>
              </w:rPr>
            </w:pPr>
            <w:r w:rsidRPr="00B81AF6">
              <w:rPr>
                <w:rFonts w:cs="Arial"/>
              </w:rPr>
              <w:t>I/we have authority to bind the Corporation.</w:t>
            </w:r>
          </w:p>
          <w:p w14:paraId="464B3560" w14:textId="77777777" w:rsidR="00FD6EB2" w:rsidRPr="00B81AF6" w:rsidRDefault="00FD6EB2" w:rsidP="0084767B">
            <w:pPr>
              <w:ind w:right="-218"/>
              <w:jc w:val="both"/>
              <w:rPr>
                <w:rFonts w:cs="Arial"/>
              </w:rPr>
            </w:pPr>
          </w:p>
          <w:p w14:paraId="4E4B74CC" w14:textId="77777777" w:rsidR="00FD6EB2" w:rsidRPr="00B81AF6" w:rsidRDefault="00FD6EB2" w:rsidP="0084767B">
            <w:pPr>
              <w:ind w:right="-218"/>
              <w:jc w:val="both"/>
              <w:rPr>
                <w:rFonts w:cs="Arial"/>
              </w:rPr>
            </w:pPr>
          </w:p>
          <w:p w14:paraId="3FCC968B" w14:textId="77777777" w:rsidR="00FD6EB2" w:rsidRPr="00B81AF6" w:rsidRDefault="00FD6EB2" w:rsidP="0084767B">
            <w:pPr>
              <w:ind w:right="-218"/>
              <w:jc w:val="both"/>
              <w:rPr>
                <w:rFonts w:cs="Arial"/>
              </w:rPr>
            </w:pPr>
          </w:p>
          <w:p w14:paraId="26B82392" w14:textId="77777777" w:rsidR="00FD6EB2" w:rsidRPr="00B81AF6" w:rsidRDefault="00FD6EB2" w:rsidP="0084767B">
            <w:pPr>
              <w:ind w:right="-218"/>
              <w:jc w:val="both"/>
              <w:rPr>
                <w:rFonts w:cs="Arial"/>
              </w:rPr>
            </w:pPr>
          </w:p>
          <w:p w14:paraId="0139600D" w14:textId="77777777" w:rsidR="00FD6EB2" w:rsidRPr="00B81AF6" w:rsidRDefault="00FD6EB2" w:rsidP="0084767B">
            <w:pPr>
              <w:ind w:right="-218"/>
              <w:jc w:val="both"/>
              <w:rPr>
                <w:rFonts w:cs="Arial"/>
              </w:rPr>
            </w:pPr>
          </w:p>
        </w:tc>
        <w:tc>
          <w:tcPr>
            <w:tcW w:w="4788" w:type="dxa"/>
          </w:tcPr>
          <w:p w14:paraId="11267531" w14:textId="77777777" w:rsidR="00FD6EB2" w:rsidRPr="00B81AF6" w:rsidRDefault="00FD6EB2" w:rsidP="0084767B">
            <w:pPr>
              <w:ind w:right="-218"/>
              <w:jc w:val="both"/>
              <w:rPr>
                <w:rFonts w:cs="Arial"/>
                <w:b/>
              </w:rPr>
            </w:pPr>
            <w:r w:rsidRPr="00B81AF6">
              <w:rPr>
                <w:rFonts w:cs="Arial"/>
                <w:b/>
              </w:rPr>
              <w:t>[Builder]</w:t>
            </w:r>
          </w:p>
          <w:p w14:paraId="0B6AA190" w14:textId="77777777" w:rsidR="00FD6EB2" w:rsidRPr="00B81AF6" w:rsidRDefault="00FD6EB2" w:rsidP="0084767B">
            <w:pPr>
              <w:ind w:right="-218"/>
              <w:jc w:val="both"/>
              <w:rPr>
                <w:rFonts w:cs="Arial"/>
              </w:rPr>
            </w:pPr>
          </w:p>
          <w:p w14:paraId="14C4B83E" w14:textId="77777777" w:rsidR="00FD6EB2" w:rsidRPr="00B81AF6" w:rsidRDefault="00FD6EB2" w:rsidP="0084767B">
            <w:pPr>
              <w:ind w:right="-218"/>
              <w:jc w:val="both"/>
              <w:rPr>
                <w:rFonts w:cs="Arial"/>
              </w:rPr>
            </w:pPr>
          </w:p>
          <w:p w14:paraId="59DCD0B7" w14:textId="77777777" w:rsidR="00FD6EB2" w:rsidRPr="00B81AF6" w:rsidRDefault="00FD6EB2" w:rsidP="0084767B">
            <w:pPr>
              <w:ind w:right="-218"/>
              <w:jc w:val="both"/>
              <w:rPr>
                <w:rFonts w:cs="Arial"/>
              </w:rPr>
            </w:pPr>
            <w:r w:rsidRPr="00B81AF6">
              <w:rPr>
                <w:rFonts w:cs="Arial"/>
              </w:rPr>
              <w:t>_________________________________</w:t>
            </w:r>
          </w:p>
          <w:p w14:paraId="073FE8CB" w14:textId="77777777" w:rsidR="00FD6EB2" w:rsidRPr="00B81AF6" w:rsidRDefault="00FD6EB2" w:rsidP="0084767B">
            <w:pPr>
              <w:ind w:right="-218"/>
              <w:jc w:val="both"/>
              <w:rPr>
                <w:rFonts w:cs="Arial"/>
              </w:rPr>
            </w:pPr>
            <w:r w:rsidRPr="00B81AF6">
              <w:rPr>
                <w:rFonts w:cs="Arial"/>
              </w:rPr>
              <w:t>Name:</w:t>
            </w:r>
          </w:p>
          <w:p w14:paraId="39D2698C" w14:textId="77777777" w:rsidR="00FD6EB2" w:rsidRPr="00B81AF6" w:rsidRDefault="00FD6EB2" w:rsidP="0084767B">
            <w:pPr>
              <w:ind w:right="-218"/>
              <w:jc w:val="both"/>
              <w:rPr>
                <w:rFonts w:cs="Arial"/>
              </w:rPr>
            </w:pPr>
            <w:r w:rsidRPr="00B81AF6">
              <w:rPr>
                <w:rFonts w:cs="Arial"/>
              </w:rPr>
              <w:t>Title:</w:t>
            </w:r>
          </w:p>
          <w:p w14:paraId="5827E35E" w14:textId="77777777" w:rsidR="00FD6EB2" w:rsidRPr="00B81AF6" w:rsidRDefault="00FD6EB2" w:rsidP="0084767B">
            <w:pPr>
              <w:ind w:right="-218"/>
              <w:jc w:val="both"/>
              <w:rPr>
                <w:rFonts w:cs="Arial"/>
              </w:rPr>
            </w:pPr>
          </w:p>
          <w:p w14:paraId="0D4A803E" w14:textId="77777777" w:rsidR="00FD6EB2" w:rsidRPr="00B81AF6" w:rsidRDefault="00FD6EB2" w:rsidP="0084767B">
            <w:pPr>
              <w:ind w:right="-218"/>
              <w:jc w:val="both"/>
              <w:rPr>
                <w:rFonts w:cs="Arial"/>
              </w:rPr>
            </w:pPr>
            <w:r w:rsidRPr="00B81AF6">
              <w:rPr>
                <w:rFonts w:cs="Arial"/>
              </w:rPr>
              <w:t>_________________________________</w:t>
            </w:r>
          </w:p>
          <w:p w14:paraId="7E267DFF" w14:textId="77777777" w:rsidR="00FD6EB2" w:rsidRPr="00B81AF6" w:rsidRDefault="00FD6EB2" w:rsidP="0084767B">
            <w:pPr>
              <w:ind w:right="-218"/>
              <w:jc w:val="both"/>
              <w:rPr>
                <w:rFonts w:cs="Arial"/>
              </w:rPr>
            </w:pPr>
            <w:r w:rsidRPr="00B81AF6">
              <w:rPr>
                <w:rFonts w:cs="Arial"/>
              </w:rPr>
              <w:t>Name:</w:t>
            </w:r>
          </w:p>
          <w:p w14:paraId="25BC97AC" w14:textId="77777777" w:rsidR="00FD6EB2" w:rsidRPr="00B81AF6" w:rsidRDefault="00FD6EB2" w:rsidP="0084767B">
            <w:pPr>
              <w:ind w:right="-218"/>
              <w:jc w:val="both"/>
              <w:rPr>
                <w:rFonts w:cs="Arial"/>
              </w:rPr>
            </w:pPr>
            <w:r w:rsidRPr="00B81AF6">
              <w:rPr>
                <w:rFonts w:cs="Arial"/>
              </w:rPr>
              <w:t>Title:</w:t>
            </w:r>
          </w:p>
          <w:p w14:paraId="4F137B06" w14:textId="77777777" w:rsidR="00FD6EB2" w:rsidRPr="00B81AF6" w:rsidRDefault="00FD6EB2" w:rsidP="0084767B">
            <w:pPr>
              <w:ind w:right="-218"/>
              <w:jc w:val="both"/>
              <w:rPr>
                <w:rFonts w:cs="Arial"/>
              </w:rPr>
            </w:pPr>
          </w:p>
          <w:p w14:paraId="39637158" w14:textId="77777777" w:rsidR="00FD6EB2" w:rsidRPr="00B81AF6" w:rsidRDefault="00FD6EB2" w:rsidP="0084767B">
            <w:pPr>
              <w:ind w:right="-218"/>
              <w:jc w:val="both"/>
              <w:rPr>
                <w:rFonts w:cs="Arial"/>
              </w:rPr>
            </w:pPr>
          </w:p>
          <w:p w14:paraId="3700007B" w14:textId="77777777" w:rsidR="00FD6EB2" w:rsidRPr="00B81AF6" w:rsidRDefault="00FD6EB2" w:rsidP="0084767B">
            <w:pPr>
              <w:ind w:right="-218"/>
              <w:jc w:val="both"/>
              <w:rPr>
                <w:rFonts w:cs="Arial"/>
              </w:rPr>
            </w:pPr>
            <w:r w:rsidRPr="00B81AF6">
              <w:rPr>
                <w:rFonts w:cs="Arial"/>
              </w:rPr>
              <w:t>I/we have authority to bind the Corporation.</w:t>
            </w:r>
          </w:p>
          <w:p w14:paraId="161F3B6A" w14:textId="77777777" w:rsidR="00FD6EB2" w:rsidRPr="00B81AF6" w:rsidRDefault="00FD6EB2" w:rsidP="0084767B">
            <w:pPr>
              <w:ind w:right="-218"/>
              <w:jc w:val="both"/>
              <w:rPr>
                <w:rFonts w:cs="Arial"/>
              </w:rPr>
            </w:pPr>
          </w:p>
          <w:p w14:paraId="473704FC" w14:textId="77777777" w:rsidR="00FD6EB2" w:rsidRPr="00B81AF6" w:rsidRDefault="00FD6EB2" w:rsidP="0084767B">
            <w:pPr>
              <w:ind w:right="-218"/>
              <w:jc w:val="both"/>
              <w:rPr>
                <w:rFonts w:cs="Arial"/>
              </w:rPr>
            </w:pPr>
          </w:p>
        </w:tc>
      </w:tr>
    </w:tbl>
    <w:p w14:paraId="02B982BD" w14:textId="77777777" w:rsidR="00FD6EB2" w:rsidRDefault="00FD6EB2" w:rsidP="00FD6EB2">
      <w:pPr>
        <w:ind w:right="-218"/>
        <w:jc w:val="both"/>
        <w:rPr>
          <w:rFonts w:cs="Arial"/>
          <w:b/>
        </w:rPr>
      </w:pPr>
    </w:p>
    <w:p w14:paraId="21D93486" w14:textId="77777777" w:rsidR="00FD6EB2" w:rsidRDefault="00FD6EB2" w:rsidP="00FD6EB2">
      <w:pPr>
        <w:ind w:right="-218"/>
        <w:jc w:val="both"/>
        <w:rPr>
          <w:rFonts w:cs="Arial"/>
          <w:b/>
        </w:rPr>
      </w:pPr>
    </w:p>
    <w:p w14:paraId="24C0C470" w14:textId="77777777" w:rsidR="00FD6EB2" w:rsidRPr="00B81AF6" w:rsidRDefault="00FD6EB2" w:rsidP="00FD6EB2">
      <w:pPr>
        <w:ind w:right="-218"/>
        <w:jc w:val="center"/>
        <w:rPr>
          <w:rFonts w:cs="Arial"/>
          <w:b/>
        </w:rPr>
      </w:pPr>
      <w:r w:rsidRPr="00B81AF6">
        <w:rPr>
          <w:rFonts w:cs="Arial"/>
          <w:b/>
        </w:rPr>
        <w:t>Acknowledgement</w:t>
      </w:r>
    </w:p>
    <w:p w14:paraId="123CB94F" w14:textId="77777777" w:rsidR="00FD6EB2" w:rsidRPr="00B81AF6" w:rsidRDefault="00FD6EB2" w:rsidP="00FD6EB2">
      <w:pPr>
        <w:ind w:right="-218"/>
        <w:jc w:val="both"/>
        <w:rPr>
          <w:rFonts w:cs="Arial"/>
          <w:b/>
        </w:rPr>
      </w:pPr>
    </w:p>
    <w:p w14:paraId="3E9DBD27" w14:textId="77777777" w:rsidR="00FD6EB2" w:rsidRPr="00B81AF6" w:rsidRDefault="00FD6EB2" w:rsidP="00FD6EB2">
      <w:pPr>
        <w:ind w:right="-218"/>
        <w:jc w:val="both"/>
        <w:rPr>
          <w:rFonts w:cs="Arial"/>
        </w:rPr>
      </w:pPr>
      <w:r w:rsidRPr="00B81AF6">
        <w:rPr>
          <w:rFonts w:cs="Arial"/>
        </w:rPr>
        <w:t xml:space="preserve">Tarion acknowledges the above agreement and exercises its discretion to extend or abridge </w:t>
      </w:r>
      <w:r>
        <w:rPr>
          <w:rFonts w:cs="Arial"/>
        </w:rPr>
        <w:t xml:space="preserve">statutory </w:t>
      </w:r>
      <w:r w:rsidRPr="00B81AF6">
        <w:rPr>
          <w:rFonts w:cs="Arial"/>
        </w:rPr>
        <w:t>time</w:t>
      </w:r>
      <w:r>
        <w:rPr>
          <w:rFonts w:cs="Arial"/>
        </w:rPr>
        <w:t>line</w:t>
      </w:r>
      <w:r w:rsidRPr="00B81AF6">
        <w:rPr>
          <w:rFonts w:cs="Arial"/>
        </w:rPr>
        <w:t>s to accommodate this agreement.</w:t>
      </w:r>
    </w:p>
    <w:p w14:paraId="446E5683" w14:textId="77777777" w:rsidR="00FD6EB2" w:rsidRDefault="00FD6EB2" w:rsidP="00FD6EB2">
      <w:pPr>
        <w:ind w:right="-218"/>
        <w:jc w:val="both"/>
        <w:rPr>
          <w:rFonts w:cs="Arial"/>
        </w:rPr>
      </w:pPr>
      <w:r w:rsidRPr="00B81AF6">
        <w:rPr>
          <w:rFonts w:cs="Arial"/>
        </w:rPr>
        <w:tab/>
      </w:r>
      <w:r w:rsidRPr="00B81AF6">
        <w:rPr>
          <w:rFonts w:cs="Arial"/>
        </w:rPr>
        <w:tab/>
      </w:r>
      <w:r w:rsidRPr="00B81AF6">
        <w:rPr>
          <w:rFonts w:cs="Arial"/>
        </w:rPr>
        <w:tab/>
      </w:r>
      <w:r w:rsidRPr="00B81AF6">
        <w:rPr>
          <w:rFonts w:cs="Arial"/>
        </w:rPr>
        <w:tab/>
      </w:r>
      <w:r w:rsidRPr="00B81AF6">
        <w:rPr>
          <w:rFonts w:cs="Arial"/>
        </w:rPr>
        <w:tab/>
      </w:r>
      <w:r w:rsidRPr="00B81AF6">
        <w:rPr>
          <w:rFonts w:cs="Arial"/>
        </w:rPr>
        <w:tab/>
      </w:r>
    </w:p>
    <w:p w14:paraId="57F9B528" w14:textId="77777777" w:rsidR="00FD6EB2" w:rsidRPr="00B81AF6" w:rsidRDefault="00FD6EB2" w:rsidP="00FD6EB2">
      <w:pPr>
        <w:ind w:right="-218"/>
        <w:jc w:val="both"/>
        <w:rPr>
          <w:rFonts w:cs="Arial"/>
        </w:rPr>
      </w:pPr>
      <w:r w:rsidRPr="00B81AF6">
        <w:rPr>
          <w:rFonts w:cs="Arial"/>
        </w:rPr>
        <w:tab/>
      </w:r>
    </w:p>
    <w:p w14:paraId="21A7AA02" w14:textId="77777777" w:rsidR="00FD6EB2" w:rsidRPr="00B81AF6" w:rsidRDefault="00FD6EB2" w:rsidP="00FD6EB2">
      <w:pPr>
        <w:ind w:left="5040" w:right="-218"/>
        <w:jc w:val="both"/>
        <w:rPr>
          <w:rFonts w:cs="Arial"/>
          <w:b/>
        </w:rPr>
      </w:pPr>
      <w:r w:rsidRPr="00B81AF6">
        <w:rPr>
          <w:rFonts w:cs="Arial"/>
          <w:b/>
        </w:rPr>
        <w:t>TARION WARRANTY CORPORATION</w:t>
      </w:r>
    </w:p>
    <w:p w14:paraId="3831C679" w14:textId="77777777" w:rsidR="00FD6EB2" w:rsidRPr="00B81AF6" w:rsidRDefault="00FD6EB2" w:rsidP="00FD6EB2">
      <w:pPr>
        <w:ind w:right="-218"/>
        <w:jc w:val="both"/>
        <w:rPr>
          <w:rFonts w:cs="Arial"/>
        </w:rPr>
      </w:pPr>
    </w:p>
    <w:p w14:paraId="6897EF30" w14:textId="77777777" w:rsidR="00FD6EB2" w:rsidRPr="00B81AF6" w:rsidRDefault="00FD6EB2" w:rsidP="00FD6EB2">
      <w:pPr>
        <w:ind w:right="-218"/>
        <w:jc w:val="both"/>
        <w:rPr>
          <w:rFonts w:cs="Arial"/>
        </w:rPr>
      </w:pPr>
    </w:p>
    <w:p w14:paraId="27BFFF79" w14:textId="77777777" w:rsidR="00FD6EB2" w:rsidRPr="00B81AF6" w:rsidRDefault="00FD6EB2" w:rsidP="00FD6EB2">
      <w:pPr>
        <w:ind w:right="-218"/>
        <w:jc w:val="both"/>
        <w:rPr>
          <w:rFonts w:cs="Arial"/>
        </w:rPr>
      </w:pPr>
    </w:p>
    <w:p w14:paraId="0BB8822D" w14:textId="77777777" w:rsidR="00FD6EB2" w:rsidRPr="00B81AF6" w:rsidRDefault="00FD6EB2" w:rsidP="00FD6EB2">
      <w:pPr>
        <w:ind w:right="-218"/>
        <w:jc w:val="both"/>
        <w:rPr>
          <w:rFonts w:cs="Arial"/>
        </w:rPr>
      </w:pPr>
      <w:r w:rsidRPr="00B81AF6">
        <w:rPr>
          <w:rFonts w:cs="Arial"/>
        </w:rPr>
        <w:tab/>
      </w:r>
      <w:r w:rsidRPr="00B81AF6">
        <w:rPr>
          <w:rFonts w:cs="Arial"/>
        </w:rPr>
        <w:tab/>
      </w:r>
      <w:r w:rsidRPr="00B81AF6">
        <w:rPr>
          <w:rFonts w:cs="Arial"/>
        </w:rPr>
        <w:tab/>
      </w:r>
      <w:r w:rsidRPr="00B81AF6">
        <w:rPr>
          <w:rFonts w:cs="Arial"/>
        </w:rPr>
        <w:tab/>
      </w:r>
      <w:r w:rsidRPr="00B81AF6">
        <w:rPr>
          <w:rFonts w:cs="Arial"/>
        </w:rPr>
        <w:tab/>
      </w:r>
      <w:r w:rsidRPr="00B81AF6">
        <w:rPr>
          <w:rFonts w:cs="Arial"/>
        </w:rPr>
        <w:tab/>
      </w:r>
      <w:r w:rsidRPr="00B81AF6">
        <w:rPr>
          <w:rFonts w:cs="Arial"/>
        </w:rPr>
        <w:tab/>
        <w:t xml:space="preserve"> ___________________________</w:t>
      </w:r>
    </w:p>
    <w:p w14:paraId="4066BB2F" w14:textId="77777777" w:rsidR="00FD6EB2" w:rsidRPr="00B81AF6" w:rsidRDefault="00FD6EB2" w:rsidP="00FD6EB2">
      <w:pPr>
        <w:ind w:right="-218"/>
        <w:jc w:val="both"/>
        <w:rPr>
          <w:rFonts w:cs="Arial"/>
        </w:rPr>
      </w:pPr>
      <w:r w:rsidRPr="00B81AF6">
        <w:rPr>
          <w:rFonts w:cs="Arial"/>
        </w:rPr>
        <w:tab/>
      </w:r>
      <w:r w:rsidRPr="00B81AF6">
        <w:rPr>
          <w:rFonts w:cs="Arial"/>
        </w:rPr>
        <w:tab/>
      </w:r>
      <w:r w:rsidRPr="00B81AF6">
        <w:rPr>
          <w:rFonts w:cs="Arial"/>
        </w:rPr>
        <w:tab/>
      </w:r>
      <w:r w:rsidRPr="00B81AF6">
        <w:rPr>
          <w:rFonts w:cs="Arial"/>
        </w:rPr>
        <w:tab/>
      </w:r>
      <w:r w:rsidRPr="00B81AF6">
        <w:rPr>
          <w:rFonts w:cs="Arial"/>
        </w:rPr>
        <w:tab/>
      </w:r>
      <w:r w:rsidRPr="00B81AF6">
        <w:rPr>
          <w:rFonts w:cs="Arial"/>
        </w:rPr>
        <w:tab/>
        <w:t xml:space="preserve">              Name:</w:t>
      </w:r>
    </w:p>
    <w:p w14:paraId="4027D4D0" w14:textId="77777777" w:rsidR="00FD6EB2" w:rsidRPr="00B81AF6" w:rsidRDefault="00FD6EB2" w:rsidP="00FD6EB2">
      <w:pPr>
        <w:ind w:right="-218"/>
        <w:jc w:val="both"/>
        <w:rPr>
          <w:rFonts w:cs="Arial"/>
        </w:rPr>
      </w:pPr>
      <w:r w:rsidRPr="00B81AF6">
        <w:rPr>
          <w:rFonts w:cs="Arial"/>
        </w:rPr>
        <w:t xml:space="preserve">                                                                                     </w:t>
      </w:r>
      <w:r>
        <w:rPr>
          <w:rFonts w:cs="Arial"/>
        </w:rPr>
        <w:tab/>
        <w:t xml:space="preserve"> </w:t>
      </w:r>
      <w:r w:rsidRPr="00B81AF6">
        <w:rPr>
          <w:rFonts w:cs="Arial"/>
        </w:rPr>
        <w:t>Title:</w:t>
      </w:r>
    </w:p>
    <w:p w14:paraId="531C0820" w14:textId="77777777" w:rsidR="00FD6EB2" w:rsidRPr="00B81AF6" w:rsidRDefault="00FD6EB2" w:rsidP="00FD6EB2">
      <w:pPr>
        <w:ind w:right="-218"/>
        <w:jc w:val="both"/>
        <w:rPr>
          <w:rFonts w:cs="Arial"/>
        </w:rPr>
      </w:pPr>
    </w:p>
    <w:p w14:paraId="7570A849" w14:textId="0AB38731" w:rsidR="00CA417E" w:rsidRDefault="00CA417E">
      <w:pPr>
        <w:rPr>
          <w:rFonts w:ascii="Garamond" w:hAnsi="Garamond" w:cs="Arial"/>
        </w:rPr>
      </w:pPr>
      <w:r>
        <w:rPr>
          <w:rFonts w:ascii="Garamond" w:hAnsi="Garamond" w:cs="Arial"/>
        </w:rPr>
        <w:br w:type="page"/>
      </w:r>
    </w:p>
    <w:p w14:paraId="151499CE" w14:textId="2BF6BD0C" w:rsidR="00CA417E" w:rsidRPr="0032337E" w:rsidRDefault="00CA417E" w:rsidP="00CA417E">
      <w:pPr>
        <w:ind w:right="142"/>
        <w:jc w:val="center"/>
        <w:rPr>
          <w:rFonts w:cs="Arial"/>
          <w:b/>
        </w:rPr>
      </w:pPr>
      <w:r>
        <w:rPr>
          <w:rFonts w:cs="Arial"/>
          <w:b/>
          <w:color w:val="00396C"/>
          <w:sz w:val="24"/>
          <w:szCs w:val="32"/>
          <w:lang w:bidi="en-US"/>
        </w:rPr>
        <w:t>Schedule “A” to Repair Agreement</w:t>
      </w:r>
    </w:p>
    <w:p w14:paraId="2456129B" w14:textId="77777777" w:rsidR="00FD6EB2" w:rsidRDefault="00FD6EB2" w:rsidP="00FD6EB2">
      <w:pPr>
        <w:ind w:right="-218"/>
        <w:jc w:val="both"/>
        <w:rPr>
          <w:rFonts w:ascii="Garamond" w:hAnsi="Garamond" w:cs="Arial"/>
        </w:rPr>
      </w:pPr>
    </w:p>
    <w:p w14:paraId="1887C2C6" w14:textId="77777777" w:rsidR="00CA417E" w:rsidRPr="00CA417E" w:rsidRDefault="00CA417E" w:rsidP="00CA417E">
      <w:pPr>
        <w:ind w:right="-218"/>
        <w:jc w:val="both"/>
        <w:rPr>
          <w:rFonts w:cs="Arial"/>
        </w:rPr>
      </w:pPr>
      <w:r w:rsidRPr="00CA417E">
        <w:rPr>
          <w:rFonts w:cs="Arial"/>
        </w:rPr>
        <w:t>Home Enrolment Number:__________________  Statutory Warranty Form Type:_________________</w:t>
      </w:r>
    </w:p>
    <w:p w14:paraId="2B47DE34" w14:textId="77777777" w:rsidR="00CA417E" w:rsidRPr="00CA417E" w:rsidRDefault="00CA417E" w:rsidP="00CA417E">
      <w:pPr>
        <w:ind w:right="-218"/>
        <w:jc w:val="both"/>
        <w:rPr>
          <w:rFonts w:cs="Arial"/>
        </w:rPr>
      </w:pPr>
    </w:p>
    <w:p w14:paraId="7F24342C" w14:textId="77777777" w:rsidR="00CA417E" w:rsidRPr="00CA417E" w:rsidRDefault="00CA417E" w:rsidP="00CA417E">
      <w:pPr>
        <w:ind w:right="-218"/>
        <w:jc w:val="both"/>
        <w:rPr>
          <w:rFonts w:cs="Arial"/>
        </w:rPr>
      </w:pPr>
      <w:r w:rsidRPr="00CA417E">
        <w:rPr>
          <w:rFonts w:cs="Arial"/>
        </w:rPr>
        <w:t>Case Number: ___________________________</w:t>
      </w:r>
    </w:p>
    <w:p w14:paraId="2AF28089" w14:textId="77777777" w:rsidR="00CA417E" w:rsidRPr="00CA417E" w:rsidRDefault="00CA417E" w:rsidP="00CA417E">
      <w:pPr>
        <w:ind w:right="-218"/>
        <w:jc w:val="both"/>
        <w:rPr>
          <w:rFonts w:cs="Arial"/>
          <w:b/>
        </w:rPr>
      </w:pPr>
    </w:p>
    <w:p w14:paraId="3439C7AF" w14:textId="77777777" w:rsidR="00CA417E" w:rsidRPr="00CA417E" w:rsidRDefault="00CA417E" w:rsidP="00CA417E">
      <w:pPr>
        <w:ind w:right="-218"/>
        <w:jc w:val="both"/>
        <w:rPr>
          <w:rFonts w:cs="Arial"/>
          <w:b/>
        </w:rPr>
      </w:pPr>
      <w:r w:rsidRPr="00CA417E">
        <w:rPr>
          <w:rFonts w:cs="Arial"/>
          <w:b/>
        </w:rPr>
        <w:t xml:space="preserve">List of Outstanding Items: </w:t>
      </w:r>
    </w:p>
    <w:p w14:paraId="27AE5C18" w14:textId="77777777" w:rsidR="00CA417E" w:rsidRPr="00CA417E" w:rsidRDefault="00CA417E" w:rsidP="00CA417E">
      <w:pPr>
        <w:ind w:right="-218"/>
        <w:jc w:val="both"/>
        <w:rPr>
          <w:rFonts w:cs="Arial"/>
        </w:rPr>
      </w:pPr>
    </w:p>
    <w:tbl>
      <w:tblPr>
        <w:tblStyle w:val="TableGrid"/>
        <w:tblW w:w="10548" w:type="dxa"/>
        <w:tblLook w:val="04A0" w:firstRow="1" w:lastRow="0" w:firstColumn="1" w:lastColumn="0" w:noHBand="0" w:noVBand="1"/>
      </w:tblPr>
      <w:tblGrid>
        <w:gridCol w:w="817"/>
        <w:gridCol w:w="2552"/>
        <w:gridCol w:w="7179"/>
      </w:tblGrid>
      <w:tr w:rsidR="00CA417E" w:rsidRPr="00CA417E" w14:paraId="5271F4CC" w14:textId="77777777" w:rsidTr="00CA417E">
        <w:trPr>
          <w:trHeight w:val="497"/>
        </w:trPr>
        <w:tc>
          <w:tcPr>
            <w:tcW w:w="817" w:type="dxa"/>
          </w:tcPr>
          <w:p w14:paraId="670FBE30" w14:textId="77777777" w:rsidR="00CA417E" w:rsidRPr="00CA417E" w:rsidRDefault="00CA417E" w:rsidP="00CA417E">
            <w:pPr>
              <w:ind w:right="-218"/>
              <w:jc w:val="both"/>
              <w:rPr>
                <w:rFonts w:cs="Arial"/>
              </w:rPr>
            </w:pPr>
            <w:r w:rsidRPr="00CA417E">
              <w:rPr>
                <w:rFonts w:cs="Arial"/>
              </w:rPr>
              <w:t>Item #</w:t>
            </w:r>
          </w:p>
        </w:tc>
        <w:tc>
          <w:tcPr>
            <w:tcW w:w="2552" w:type="dxa"/>
          </w:tcPr>
          <w:p w14:paraId="62001D7D" w14:textId="77777777" w:rsidR="00CA417E" w:rsidRPr="00CA417E" w:rsidRDefault="00CA417E" w:rsidP="00CA417E">
            <w:pPr>
              <w:ind w:right="-218"/>
              <w:jc w:val="both"/>
              <w:rPr>
                <w:rFonts w:cs="Arial"/>
              </w:rPr>
            </w:pPr>
            <w:r w:rsidRPr="00CA417E">
              <w:rPr>
                <w:rFonts w:cs="Arial"/>
              </w:rPr>
              <w:t>Room/Location</w:t>
            </w:r>
          </w:p>
        </w:tc>
        <w:tc>
          <w:tcPr>
            <w:tcW w:w="7179" w:type="dxa"/>
          </w:tcPr>
          <w:p w14:paraId="39782D63" w14:textId="77777777" w:rsidR="00CA417E" w:rsidRPr="00CA417E" w:rsidRDefault="00CA417E" w:rsidP="00CA417E">
            <w:pPr>
              <w:ind w:right="-218"/>
              <w:jc w:val="both"/>
              <w:rPr>
                <w:rFonts w:cs="Arial"/>
              </w:rPr>
            </w:pPr>
            <w:r w:rsidRPr="00CA417E">
              <w:rPr>
                <w:rFonts w:cs="Arial"/>
              </w:rPr>
              <w:t>Description</w:t>
            </w:r>
          </w:p>
        </w:tc>
      </w:tr>
      <w:tr w:rsidR="00CA417E" w:rsidRPr="00CA417E" w14:paraId="37FD8119" w14:textId="77777777" w:rsidTr="00CA417E">
        <w:trPr>
          <w:trHeight w:val="434"/>
        </w:trPr>
        <w:tc>
          <w:tcPr>
            <w:tcW w:w="817" w:type="dxa"/>
          </w:tcPr>
          <w:p w14:paraId="78C91B09" w14:textId="77777777" w:rsidR="00CA417E" w:rsidRPr="00CA417E" w:rsidRDefault="00CA417E" w:rsidP="00CA417E">
            <w:pPr>
              <w:ind w:right="-218"/>
              <w:jc w:val="both"/>
              <w:rPr>
                <w:rFonts w:cs="Arial"/>
              </w:rPr>
            </w:pPr>
          </w:p>
        </w:tc>
        <w:tc>
          <w:tcPr>
            <w:tcW w:w="2552" w:type="dxa"/>
          </w:tcPr>
          <w:p w14:paraId="561F1BCF" w14:textId="77777777" w:rsidR="00CA417E" w:rsidRPr="00CA417E" w:rsidRDefault="00CA417E" w:rsidP="00CA417E">
            <w:pPr>
              <w:ind w:right="-218"/>
              <w:jc w:val="both"/>
              <w:rPr>
                <w:rFonts w:cs="Arial"/>
              </w:rPr>
            </w:pPr>
          </w:p>
        </w:tc>
        <w:tc>
          <w:tcPr>
            <w:tcW w:w="7179" w:type="dxa"/>
          </w:tcPr>
          <w:p w14:paraId="027AB1A4" w14:textId="77777777" w:rsidR="00CA417E" w:rsidRPr="00CA417E" w:rsidRDefault="00CA417E" w:rsidP="00CA417E">
            <w:pPr>
              <w:ind w:right="-218"/>
              <w:jc w:val="both"/>
              <w:rPr>
                <w:rFonts w:cs="Arial"/>
              </w:rPr>
            </w:pPr>
          </w:p>
        </w:tc>
      </w:tr>
      <w:tr w:rsidR="00CA417E" w:rsidRPr="00CA417E" w14:paraId="6727F434" w14:textId="77777777" w:rsidTr="00CA417E">
        <w:trPr>
          <w:trHeight w:val="434"/>
        </w:trPr>
        <w:tc>
          <w:tcPr>
            <w:tcW w:w="817" w:type="dxa"/>
          </w:tcPr>
          <w:p w14:paraId="134E6F7C" w14:textId="77777777" w:rsidR="00CA417E" w:rsidRPr="00CA417E" w:rsidRDefault="00CA417E" w:rsidP="00CA417E">
            <w:pPr>
              <w:ind w:right="-218"/>
              <w:jc w:val="both"/>
              <w:rPr>
                <w:rFonts w:cs="Arial"/>
              </w:rPr>
            </w:pPr>
          </w:p>
        </w:tc>
        <w:tc>
          <w:tcPr>
            <w:tcW w:w="2552" w:type="dxa"/>
          </w:tcPr>
          <w:p w14:paraId="43179288" w14:textId="77777777" w:rsidR="00CA417E" w:rsidRPr="00CA417E" w:rsidRDefault="00CA417E" w:rsidP="00CA417E">
            <w:pPr>
              <w:ind w:right="-218"/>
              <w:jc w:val="both"/>
              <w:rPr>
                <w:rFonts w:cs="Arial"/>
              </w:rPr>
            </w:pPr>
          </w:p>
        </w:tc>
        <w:tc>
          <w:tcPr>
            <w:tcW w:w="7179" w:type="dxa"/>
          </w:tcPr>
          <w:p w14:paraId="7A5D44DE" w14:textId="77777777" w:rsidR="00CA417E" w:rsidRPr="00CA417E" w:rsidRDefault="00CA417E" w:rsidP="00CA417E">
            <w:pPr>
              <w:ind w:right="-218"/>
              <w:jc w:val="both"/>
              <w:rPr>
                <w:rFonts w:cs="Arial"/>
              </w:rPr>
            </w:pPr>
          </w:p>
        </w:tc>
      </w:tr>
      <w:tr w:rsidR="00CA417E" w:rsidRPr="00CA417E" w14:paraId="4DAE6D00" w14:textId="77777777" w:rsidTr="00CA417E">
        <w:trPr>
          <w:trHeight w:val="452"/>
        </w:trPr>
        <w:tc>
          <w:tcPr>
            <w:tcW w:w="817" w:type="dxa"/>
          </w:tcPr>
          <w:p w14:paraId="02D05CF7" w14:textId="77777777" w:rsidR="00CA417E" w:rsidRPr="00CA417E" w:rsidRDefault="00CA417E" w:rsidP="00CA417E">
            <w:pPr>
              <w:ind w:right="-218"/>
              <w:jc w:val="both"/>
              <w:rPr>
                <w:rFonts w:cs="Arial"/>
              </w:rPr>
            </w:pPr>
          </w:p>
        </w:tc>
        <w:tc>
          <w:tcPr>
            <w:tcW w:w="2552" w:type="dxa"/>
          </w:tcPr>
          <w:p w14:paraId="0E8B1CB1" w14:textId="77777777" w:rsidR="00CA417E" w:rsidRPr="00CA417E" w:rsidRDefault="00CA417E" w:rsidP="00CA417E">
            <w:pPr>
              <w:ind w:right="-218"/>
              <w:jc w:val="both"/>
              <w:rPr>
                <w:rFonts w:cs="Arial"/>
              </w:rPr>
            </w:pPr>
          </w:p>
        </w:tc>
        <w:tc>
          <w:tcPr>
            <w:tcW w:w="7179" w:type="dxa"/>
          </w:tcPr>
          <w:p w14:paraId="09D8652F" w14:textId="77777777" w:rsidR="00CA417E" w:rsidRPr="00CA417E" w:rsidRDefault="00CA417E" w:rsidP="00CA417E">
            <w:pPr>
              <w:ind w:right="-218"/>
              <w:jc w:val="both"/>
              <w:rPr>
                <w:rFonts w:cs="Arial"/>
              </w:rPr>
            </w:pPr>
          </w:p>
        </w:tc>
      </w:tr>
      <w:tr w:rsidR="00CA417E" w:rsidRPr="00CA417E" w14:paraId="4962816A" w14:textId="77777777" w:rsidTr="00CA417E">
        <w:trPr>
          <w:trHeight w:val="443"/>
        </w:trPr>
        <w:tc>
          <w:tcPr>
            <w:tcW w:w="817" w:type="dxa"/>
          </w:tcPr>
          <w:p w14:paraId="37988A4B" w14:textId="77777777" w:rsidR="00CA417E" w:rsidRPr="00CA417E" w:rsidRDefault="00CA417E" w:rsidP="00CA417E">
            <w:pPr>
              <w:ind w:right="-218"/>
              <w:jc w:val="both"/>
              <w:rPr>
                <w:rFonts w:cs="Arial"/>
              </w:rPr>
            </w:pPr>
          </w:p>
        </w:tc>
        <w:tc>
          <w:tcPr>
            <w:tcW w:w="2552" w:type="dxa"/>
          </w:tcPr>
          <w:p w14:paraId="71FE2B4C" w14:textId="77777777" w:rsidR="00CA417E" w:rsidRPr="00CA417E" w:rsidRDefault="00CA417E" w:rsidP="00CA417E">
            <w:pPr>
              <w:ind w:right="-218"/>
              <w:jc w:val="both"/>
              <w:rPr>
                <w:rFonts w:cs="Arial"/>
              </w:rPr>
            </w:pPr>
          </w:p>
        </w:tc>
        <w:tc>
          <w:tcPr>
            <w:tcW w:w="7179" w:type="dxa"/>
          </w:tcPr>
          <w:p w14:paraId="3ECFEA76" w14:textId="77777777" w:rsidR="00CA417E" w:rsidRPr="00CA417E" w:rsidRDefault="00CA417E" w:rsidP="00CA417E">
            <w:pPr>
              <w:ind w:right="-218"/>
              <w:jc w:val="both"/>
              <w:rPr>
                <w:rFonts w:cs="Arial"/>
              </w:rPr>
            </w:pPr>
          </w:p>
        </w:tc>
      </w:tr>
      <w:tr w:rsidR="00CA417E" w:rsidRPr="00CA417E" w14:paraId="22CE0DB7" w14:textId="77777777" w:rsidTr="00CA417E">
        <w:trPr>
          <w:trHeight w:val="443"/>
        </w:trPr>
        <w:tc>
          <w:tcPr>
            <w:tcW w:w="817" w:type="dxa"/>
          </w:tcPr>
          <w:p w14:paraId="630BA376" w14:textId="77777777" w:rsidR="00CA417E" w:rsidRPr="00CA417E" w:rsidRDefault="00CA417E" w:rsidP="00CA417E">
            <w:pPr>
              <w:ind w:right="-218"/>
              <w:jc w:val="both"/>
              <w:rPr>
                <w:rFonts w:cs="Arial"/>
              </w:rPr>
            </w:pPr>
          </w:p>
        </w:tc>
        <w:tc>
          <w:tcPr>
            <w:tcW w:w="2552" w:type="dxa"/>
          </w:tcPr>
          <w:p w14:paraId="508ACB8B" w14:textId="77777777" w:rsidR="00CA417E" w:rsidRPr="00CA417E" w:rsidRDefault="00CA417E" w:rsidP="00CA417E">
            <w:pPr>
              <w:ind w:right="-218"/>
              <w:jc w:val="both"/>
              <w:rPr>
                <w:rFonts w:cs="Arial"/>
              </w:rPr>
            </w:pPr>
          </w:p>
        </w:tc>
        <w:tc>
          <w:tcPr>
            <w:tcW w:w="7179" w:type="dxa"/>
          </w:tcPr>
          <w:p w14:paraId="77AF7FFD" w14:textId="77777777" w:rsidR="00CA417E" w:rsidRPr="00CA417E" w:rsidRDefault="00CA417E" w:rsidP="00CA417E">
            <w:pPr>
              <w:ind w:right="-218"/>
              <w:jc w:val="both"/>
              <w:rPr>
                <w:rFonts w:cs="Arial"/>
              </w:rPr>
            </w:pPr>
          </w:p>
        </w:tc>
      </w:tr>
      <w:tr w:rsidR="00CA417E" w:rsidRPr="00CA417E" w14:paraId="1446B988" w14:textId="77777777" w:rsidTr="00CA417E">
        <w:trPr>
          <w:trHeight w:val="434"/>
        </w:trPr>
        <w:tc>
          <w:tcPr>
            <w:tcW w:w="817" w:type="dxa"/>
          </w:tcPr>
          <w:p w14:paraId="55F0E23F" w14:textId="77777777" w:rsidR="00CA417E" w:rsidRPr="00CA417E" w:rsidRDefault="00CA417E" w:rsidP="00CA417E">
            <w:pPr>
              <w:ind w:right="-218"/>
              <w:jc w:val="both"/>
              <w:rPr>
                <w:rFonts w:cs="Arial"/>
              </w:rPr>
            </w:pPr>
          </w:p>
        </w:tc>
        <w:tc>
          <w:tcPr>
            <w:tcW w:w="2552" w:type="dxa"/>
          </w:tcPr>
          <w:p w14:paraId="152470A4" w14:textId="77777777" w:rsidR="00CA417E" w:rsidRPr="00CA417E" w:rsidRDefault="00CA417E" w:rsidP="00CA417E">
            <w:pPr>
              <w:ind w:right="-218"/>
              <w:jc w:val="both"/>
              <w:rPr>
                <w:rFonts w:cs="Arial"/>
              </w:rPr>
            </w:pPr>
          </w:p>
        </w:tc>
        <w:tc>
          <w:tcPr>
            <w:tcW w:w="7179" w:type="dxa"/>
          </w:tcPr>
          <w:p w14:paraId="320210AE" w14:textId="77777777" w:rsidR="00CA417E" w:rsidRPr="00CA417E" w:rsidRDefault="00CA417E" w:rsidP="00CA417E">
            <w:pPr>
              <w:ind w:right="-218"/>
              <w:jc w:val="both"/>
              <w:rPr>
                <w:rFonts w:cs="Arial"/>
              </w:rPr>
            </w:pPr>
          </w:p>
        </w:tc>
      </w:tr>
      <w:tr w:rsidR="00CA417E" w:rsidRPr="00CA417E" w14:paraId="4CC316B6" w14:textId="77777777" w:rsidTr="00CA417E">
        <w:trPr>
          <w:trHeight w:val="434"/>
        </w:trPr>
        <w:tc>
          <w:tcPr>
            <w:tcW w:w="817" w:type="dxa"/>
          </w:tcPr>
          <w:p w14:paraId="78485378" w14:textId="77777777" w:rsidR="00CA417E" w:rsidRPr="00CA417E" w:rsidRDefault="00CA417E" w:rsidP="00CA417E">
            <w:pPr>
              <w:ind w:right="-218"/>
              <w:jc w:val="both"/>
              <w:rPr>
                <w:rFonts w:cs="Arial"/>
              </w:rPr>
            </w:pPr>
          </w:p>
        </w:tc>
        <w:tc>
          <w:tcPr>
            <w:tcW w:w="2552" w:type="dxa"/>
          </w:tcPr>
          <w:p w14:paraId="09B72439" w14:textId="77777777" w:rsidR="00CA417E" w:rsidRPr="00CA417E" w:rsidRDefault="00CA417E" w:rsidP="00CA417E">
            <w:pPr>
              <w:ind w:right="-218"/>
              <w:jc w:val="both"/>
              <w:rPr>
                <w:rFonts w:cs="Arial"/>
              </w:rPr>
            </w:pPr>
          </w:p>
        </w:tc>
        <w:tc>
          <w:tcPr>
            <w:tcW w:w="7179" w:type="dxa"/>
          </w:tcPr>
          <w:p w14:paraId="51F55B79" w14:textId="77777777" w:rsidR="00CA417E" w:rsidRPr="00CA417E" w:rsidRDefault="00CA417E" w:rsidP="00CA417E">
            <w:pPr>
              <w:ind w:right="-218"/>
              <w:jc w:val="both"/>
              <w:rPr>
                <w:rFonts w:cs="Arial"/>
              </w:rPr>
            </w:pPr>
          </w:p>
        </w:tc>
      </w:tr>
      <w:tr w:rsidR="00CA417E" w:rsidRPr="00CA417E" w14:paraId="424DF6EA" w14:textId="77777777" w:rsidTr="00CA417E">
        <w:trPr>
          <w:trHeight w:val="443"/>
        </w:trPr>
        <w:tc>
          <w:tcPr>
            <w:tcW w:w="817" w:type="dxa"/>
          </w:tcPr>
          <w:p w14:paraId="734B1137" w14:textId="77777777" w:rsidR="00CA417E" w:rsidRPr="00CA417E" w:rsidRDefault="00CA417E" w:rsidP="00CA417E">
            <w:pPr>
              <w:ind w:right="-218"/>
              <w:jc w:val="both"/>
              <w:rPr>
                <w:rFonts w:cs="Arial"/>
              </w:rPr>
            </w:pPr>
          </w:p>
        </w:tc>
        <w:tc>
          <w:tcPr>
            <w:tcW w:w="2552" w:type="dxa"/>
          </w:tcPr>
          <w:p w14:paraId="21E067AA" w14:textId="77777777" w:rsidR="00CA417E" w:rsidRPr="00CA417E" w:rsidRDefault="00CA417E" w:rsidP="00CA417E">
            <w:pPr>
              <w:ind w:right="-218"/>
              <w:jc w:val="both"/>
              <w:rPr>
                <w:rFonts w:cs="Arial"/>
              </w:rPr>
            </w:pPr>
          </w:p>
        </w:tc>
        <w:tc>
          <w:tcPr>
            <w:tcW w:w="7179" w:type="dxa"/>
          </w:tcPr>
          <w:p w14:paraId="38F5A1D3" w14:textId="77777777" w:rsidR="00CA417E" w:rsidRPr="00CA417E" w:rsidRDefault="00CA417E" w:rsidP="00CA417E">
            <w:pPr>
              <w:ind w:right="-218"/>
              <w:jc w:val="both"/>
              <w:rPr>
                <w:rFonts w:cs="Arial"/>
              </w:rPr>
            </w:pPr>
          </w:p>
        </w:tc>
      </w:tr>
      <w:tr w:rsidR="00CA417E" w:rsidRPr="00CA417E" w14:paraId="5C6F6893" w14:textId="77777777" w:rsidTr="00CA417E">
        <w:trPr>
          <w:trHeight w:val="443"/>
        </w:trPr>
        <w:tc>
          <w:tcPr>
            <w:tcW w:w="817" w:type="dxa"/>
          </w:tcPr>
          <w:p w14:paraId="440651FD" w14:textId="77777777" w:rsidR="00CA417E" w:rsidRPr="00CA417E" w:rsidRDefault="00CA417E" w:rsidP="00CA417E">
            <w:pPr>
              <w:ind w:right="-218"/>
              <w:jc w:val="both"/>
              <w:rPr>
                <w:rFonts w:cs="Arial"/>
              </w:rPr>
            </w:pPr>
          </w:p>
        </w:tc>
        <w:tc>
          <w:tcPr>
            <w:tcW w:w="2552" w:type="dxa"/>
          </w:tcPr>
          <w:p w14:paraId="41842EBA" w14:textId="77777777" w:rsidR="00CA417E" w:rsidRPr="00CA417E" w:rsidRDefault="00CA417E" w:rsidP="00CA417E">
            <w:pPr>
              <w:ind w:right="-218"/>
              <w:jc w:val="both"/>
              <w:rPr>
                <w:rFonts w:cs="Arial"/>
              </w:rPr>
            </w:pPr>
          </w:p>
        </w:tc>
        <w:tc>
          <w:tcPr>
            <w:tcW w:w="7179" w:type="dxa"/>
          </w:tcPr>
          <w:p w14:paraId="07016AEB" w14:textId="77777777" w:rsidR="00CA417E" w:rsidRPr="00CA417E" w:rsidRDefault="00CA417E" w:rsidP="00CA417E">
            <w:pPr>
              <w:ind w:right="-218"/>
              <w:jc w:val="both"/>
              <w:rPr>
                <w:rFonts w:cs="Arial"/>
              </w:rPr>
            </w:pPr>
          </w:p>
        </w:tc>
      </w:tr>
      <w:tr w:rsidR="00CA417E" w:rsidRPr="00CA417E" w14:paraId="51E786D3" w14:textId="77777777" w:rsidTr="00CA417E">
        <w:trPr>
          <w:trHeight w:val="434"/>
        </w:trPr>
        <w:tc>
          <w:tcPr>
            <w:tcW w:w="817" w:type="dxa"/>
          </w:tcPr>
          <w:p w14:paraId="390BB9E0" w14:textId="77777777" w:rsidR="00CA417E" w:rsidRPr="00CA417E" w:rsidRDefault="00CA417E" w:rsidP="00CA417E">
            <w:pPr>
              <w:ind w:right="-218"/>
              <w:jc w:val="both"/>
              <w:rPr>
                <w:rFonts w:cs="Arial"/>
              </w:rPr>
            </w:pPr>
          </w:p>
        </w:tc>
        <w:tc>
          <w:tcPr>
            <w:tcW w:w="2552" w:type="dxa"/>
          </w:tcPr>
          <w:p w14:paraId="11E6A47D" w14:textId="77777777" w:rsidR="00CA417E" w:rsidRPr="00CA417E" w:rsidRDefault="00CA417E" w:rsidP="00CA417E">
            <w:pPr>
              <w:ind w:right="-218"/>
              <w:jc w:val="both"/>
              <w:rPr>
                <w:rFonts w:cs="Arial"/>
              </w:rPr>
            </w:pPr>
          </w:p>
        </w:tc>
        <w:tc>
          <w:tcPr>
            <w:tcW w:w="7179" w:type="dxa"/>
          </w:tcPr>
          <w:p w14:paraId="58410848" w14:textId="77777777" w:rsidR="00CA417E" w:rsidRPr="00CA417E" w:rsidRDefault="00CA417E" w:rsidP="00CA417E">
            <w:pPr>
              <w:ind w:right="-218"/>
              <w:jc w:val="both"/>
              <w:rPr>
                <w:rFonts w:cs="Arial"/>
              </w:rPr>
            </w:pPr>
          </w:p>
        </w:tc>
      </w:tr>
      <w:tr w:rsidR="00CA417E" w:rsidRPr="00CA417E" w14:paraId="45B7266C" w14:textId="77777777" w:rsidTr="00CA417E">
        <w:trPr>
          <w:trHeight w:val="452"/>
        </w:trPr>
        <w:tc>
          <w:tcPr>
            <w:tcW w:w="817" w:type="dxa"/>
          </w:tcPr>
          <w:p w14:paraId="3A2C303C" w14:textId="77777777" w:rsidR="00CA417E" w:rsidRPr="00CA417E" w:rsidRDefault="00CA417E" w:rsidP="00CA417E">
            <w:pPr>
              <w:ind w:right="-218"/>
              <w:jc w:val="both"/>
              <w:rPr>
                <w:rFonts w:cs="Arial"/>
              </w:rPr>
            </w:pPr>
          </w:p>
        </w:tc>
        <w:tc>
          <w:tcPr>
            <w:tcW w:w="2552" w:type="dxa"/>
          </w:tcPr>
          <w:p w14:paraId="4C4330A2" w14:textId="77777777" w:rsidR="00CA417E" w:rsidRPr="00CA417E" w:rsidRDefault="00CA417E" w:rsidP="00CA417E">
            <w:pPr>
              <w:ind w:right="-218"/>
              <w:jc w:val="both"/>
              <w:rPr>
                <w:rFonts w:cs="Arial"/>
              </w:rPr>
            </w:pPr>
          </w:p>
        </w:tc>
        <w:tc>
          <w:tcPr>
            <w:tcW w:w="7179" w:type="dxa"/>
          </w:tcPr>
          <w:p w14:paraId="48AD9197" w14:textId="77777777" w:rsidR="00CA417E" w:rsidRPr="00CA417E" w:rsidRDefault="00CA417E" w:rsidP="00CA417E">
            <w:pPr>
              <w:ind w:right="-218"/>
              <w:jc w:val="both"/>
              <w:rPr>
                <w:rFonts w:cs="Arial"/>
              </w:rPr>
            </w:pPr>
          </w:p>
        </w:tc>
      </w:tr>
      <w:tr w:rsidR="00CA417E" w:rsidRPr="00CA417E" w14:paraId="4A6607BF" w14:textId="77777777" w:rsidTr="00CA417E">
        <w:trPr>
          <w:trHeight w:val="434"/>
        </w:trPr>
        <w:tc>
          <w:tcPr>
            <w:tcW w:w="817" w:type="dxa"/>
          </w:tcPr>
          <w:p w14:paraId="1E49CB89" w14:textId="77777777" w:rsidR="00CA417E" w:rsidRPr="00CA417E" w:rsidRDefault="00CA417E" w:rsidP="00CA417E">
            <w:pPr>
              <w:ind w:right="-218"/>
              <w:jc w:val="both"/>
              <w:rPr>
                <w:rFonts w:cs="Arial"/>
              </w:rPr>
            </w:pPr>
          </w:p>
        </w:tc>
        <w:tc>
          <w:tcPr>
            <w:tcW w:w="2552" w:type="dxa"/>
          </w:tcPr>
          <w:p w14:paraId="1012197E" w14:textId="77777777" w:rsidR="00CA417E" w:rsidRPr="00CA417E" w:rsidRDefault="00CA417E" w:rsidP="00CA417E">
            <w:pPr>
              <w:ind w:right="-218"/>
              <w:jc w:val="both"/>
              <w:rPr>
                <w:rFonts w:cs="Arial"/>
              </w:rPr>
            </w:pPr>
          </w:p>
        </w:tc>
        <w:tc>
          <w:tcPr>
            <w:tcW w:w="7179" w:type="dxa"/>
          </w:tcPr>
          <w:p w14:paraId="2168BEA2" w14:textId="77777777" w:rsidR="00CA417E" w:rsidRPr="00CA417E" w:rsidRDefault="00CA417E" w:rsidP="00CA417E">
            <w:pPr>
              <w:ind w:right="-218"/>
              <w:jc w:val="both"/>
              <w:rPr>
                <w:rFonts w:cs="Arial"/>
              </w:rPr>
            </w:pPr>
          </w:p>
        </w:tc>
      </w:tr>
    </w:tbl>
    <w:p w14:paraId="32ABD2A9" w14:textId="77777777" w:rsidR="00CA417E" w:rsidRPr="00CA417E" w:rsidRDefault="00CA417E" w:rsidP="00CA417E">
      <w:pPr>
        <w:ind w:right="-218"/>
        <w:jc w:val="both"/>
        <w:rPr>
          <w:rFonts w:cs="Arial"/>
        </w:rPr>
      </w:pPr>
    </w:p>
    <w:p w14:paraId="04BD5F7C" w14:textId="77777777" w:rsidR="00CA417E" w:rsidRPr="00CA417E" w:rsidRDefault="00CA417E" w:rsidP="00CA417E">
      <w:pPr>
        <w:ind w:right="-218"/>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A417E" w:rsidRPr="00CA417E" w14:paraId="6BEE17A6" w14:textId="77777777" w:rsidTr="0084767B">
        <w:tc>
          <w:tcPr>
            <w:tcW w:w="4788" w:type="dxa"/>
          </w:tcPr>
          <w:p w14:paraId="7004D376" w14:textId="77777777" w:rsidR="00CA417E" w:rsidRPr="00CA417E" w:rsidRDefault="00CA417E" w:rsidP="00CA417E">
            <w:pPr>
              <w:ind w:right="-218"/>
              <w:jc w:val="both"/>
              <w:rPr>
                <w:rFonts w:cs="Arial"/>
                <w:b/>
              </w:rPr>
            </w:pPr>
            <w:r w:rsidRPr="00CA417E">
              <w:rPr>
                <w:rFonts w:cs="Arial"/>
                <w:b/>
              </w:rPr>
              <w:t>[Condominium Corporation]</w:t>
            </w:r>
          </w:p>
          <w:p w14:paraId="043157A6" w14:textId="77777777" w:rsidR="00CA417E" w:rsidRPr="00CA417E" w:rsidRDefault="00CA417E" w:rsidP="00CA417E">
            <w:pPr>
              <w:ind w:right="-218"/>
              <w:jc w:val="both"/>
              <w:rPr>
                <w:rFonts w:cs="Arial"/>
                <w:b/>
              </w:rPr>
            </w:pPr>
          </w:p>
          <w:p w14:paraId="73FC1F7E" w14:textId="77777777" w:rsidR="00CA417E" w:rsidRPr="00CA417E" w:rsidRDefault="00CA417E" w:rsidP="00CA417E">
            <w:pPr>
              <w:ind w:right="-218"/>
              <w:jc w:val="both"/>
              <w:rPr>
                <w:rFonts w:cs="Arial"/>
              </w:rPr>
            </w:pPr>
            <w:r w:rsidRPr="00CA417E">
              <w:rPr>
                <w:rFonts w:cs="Arial"/>
              </w:rPr>
              <w:t>_________________________________</w:t>
            </w:r>
          </w:p>
          <w:p w14:paraId="2A511AB6" w14:textId="77777777" w:rsidR="00CA417E" w:rsidRPr="00CA417E" w:rsidRDefault="00CA417E" w:rsidP="00CA417E">
            <w:pPr>
              <w:ind w:right="-218"/>
              <w:jc w:val="both"/>
              <w:rPr>
                <w:rFonts w:cs="Arial"/>
              </w:rPr>
            </w:pPr>
            <w:r w:rsidRPr="00CA417E">
              <w:rPr>
                <w:rFonts w:cs="Arial"/>
              </w:rPr>
              <w:t>Name:</w:t>
            </w:r>
          </w:p>
          <w:p w14:paraId="047A8E5D" w14:textId="77777777" w:rsidR="00CA417E" w:rsidRPr="00CA417E" w:rsidRDefault="00CA417E" w:rsidP="00CA417E">
            <w:pPr>
              <w:ind w:right="-218"/>
              <w:jc w:val="both"/>
              <w:rPr>
                <w:rFonts w:cs="Arial"/>
              </w:rPr>
            </w:pPr>
            <w:r w:rsidRPr="00CA417E">
              <w:rPr>
                <w:rFonts w:cs="Arial"/>
              </w:rPr>
              <w:t xml:space="preserve">Title:      </w:t>
            </w:r>
          </w:p>
          <w:p w14:paraId="6CB43BE2" w14:textId="77777777" w:rsidR="00CA417E" w:rsidRPr="00CA417E" w:rsidRDefault="00CA417E" w:rsidP="00CA417E">
            <w:pPr>
              <w:ind w:right="-218"/>
              <w:jc w:val="both"/>
              <w:rPr>
                <w:rFonts w:cs="Arial"/>
              </w:rPr>
            </w:pPr>
          </w:p>
          <w:p w14:paraId="596A2C7C" w14:textId="77777777" w:rsidR="00CA417E" w:rsidRPr="00CA417E" w:rsidRDefault="00CA417E" w:rsidP="00CA417E">
            <w:pPr>
              <w:ind w:right="-218"/>
              <w:jc w:val="both"/>
              <w:rPr>
                <w:rFonts w:cs="Arial"/>
              </w:rPr>
            </w:pPr>
            <w:r w:rsidRPr="00CA417E">
              <w:rPr>
                <w:rFonts w:cs="Arial"/>
              </w:rPr>
              <w:t>_________________________________</w:t>
            </w:r>
          </w:p>
          <w:p w14:paraId="593973BA" w14:textId="77777777" w:rsidR="00CA417E" w:rsidRPr="00CA417E" w:rsidRDefault="00CA417E" w:rsidP="00CA417E">
            <w:pPr>
              <w:ind w:right="-218"/>
              <w:jc w:val="both"/>
              <w:rPr>
                <w:rFonts w:cs="Arial"/>
              </w:rPr>
            </w:pPr>
            <w:r w:rsidRPr="00CA417E">
              <w:rPr>
                <w:rFonts w:cs="Arial"/>
              </w:rPr>
              <w:t>Name:</w:t>
            </w:r>
          </w:p>
          <w:p w14:paraId="0C1988E1" w14:textId="77777777" w:rsidR="00CA417E" w:rsidRPr="00CA417E" w:rsidRDefault="00CA417E" w:rsidP="00CA417E">
            <w:pPr>
              <w:ind w:right="-218"/>
              <w:jc w:val="both"/>
              <w:rPr>
                <w:rFonts w:cs="Arial"/>
              </w:rPr>
            </w:pPr>
            <w:r w:rsidRPr="00CA417E">
              <w:rPr>
                <w:rFonts w:cs="Arial"/>
              </w:rPr>
              <w:t xml:space="preserve">Title:      </w:t>
            </w:r>
          </w:p>
          <w:p w14:paraId="4AA4DF34" w14:textId="77777777" w:rsidR="00CA417E" w:rsidRPr="00CA417E" w:rsidRDefault="00CA417E" w:rsidP="00CA417E">
            <w:pPr>
              <w:ind w:right="-218"/>
              <w:jc w:val="both"/>
              <w:rPr>
                <w:rFonts w:cs="Arial"/>
              </w:rPr>
            </w:pPr>
          </w:p>
          <w:p w14:paraId="3213A1F6" w14:textId="77777777" w:rsidR="00CA417E" w:rsidRPr="00CA417E" w:rsidRDefault="00CA417E" w:rsidP="00CA417E">
            <w:pPr>
              <w:ind w:right="-218"/>
              <w:jc w:val="both"/>
              <w:rPr>
                <w:rFonts w:cs="Arial"/>
              </w:rPr>
            </w:pPr>
            <w:r w:rsidRPr="00CA417E">
              <w:rPr>
                <w:rFonts w:cs="Arial"/>
              </w:rPr>
              <w:t>I/we have authority to bind the Corporation.</w:t>
            </w:r>
          </w:p>
        </w:tc>
        <w:tc>
          <w:tcPr>
            <w:tcW w:w="4788" w:type="dxa"/>
          </w:tcPr>
          <w:p w14:paraId="36392C90" w14:textId="77777777" w:rsidR="00CA417E" w:rsidRPr="00CA417E" w:rsidRDefault="00CA417E" w:rsidP="00CA417E">
            <w:pPr>
              <w:ind w:right="-218"/>
              <w:jc w:val="both"/>
              <w:rPr>
                <w:rFonts w:cs="Arial"/>
                <w:b/>
              </w:rPr>
            </w:pPr>
            <w:r w:rsidRPr="00CA417E">
              <w:rPr>
                <w:rFonts w:cs="Arial"/>
                <w:b/>
              </w:rPr>
              <w:t>[Builder]</w:t>
            </w:r>
          </w:p>
          <w:p w14:paraId="4A6F741E" w14:textId="77777777" w:rsidR="00CA417E" w:rsidRPr="00CA417E" w:rsidRDefault="00CA417E" w:rsidP="00CA417E">
            <w:pPr>
              <w:ind w:right="-218"/>
              <w:jc w:val="both"/>
              <w:rPr>
                <w:rFonts w:cs="Arial"/>
              </w:rPr>
            </w:pPr>
          </w:p>
          <w:p w14:paraId="30C67AA4" w14:textId="77777777" w:rsidR="00CA417E" w:rsidRPr="00CA417E" w:rsidRDefault="00CA417E" w:rsidP="00CA417E">
            <w:pPr>
              <w:ind w:right="-218"/>
              <w:jc w:val="both"/>
              <w:rPr>
                <w:rFonts w:cs="Arial"/>
              </w:rPr>
            </w:pPr>
            <w:r w:rsidRPr="00CA417E">
              <w:rPr>
                <w:rFonts w:cs="Arial"/>
              </w:rPr>
              <w:t>_________________________________</w:t>
            </w:r>
          </w:p>
          <w:p w14:paraId="495BB3F4" w14:textId="77777777" w:rsidR="00CA417E" w:rsidRPr="00CA417E" w:rsidRDefault="00CA417E" w:rsidP="00CA417E">
            <w:pPr>
              <w:ind w:right="-218"/>
              <w:jc w:val="both"/>
              <w:rPr>
                <w:rFonts w:cs="Arial"/>
              </w:rPr>
            </w:pPr>
            <w:r w:rsidRPr="00CA417E">
              <w:rPr>
                <w:rFonts w:cs="Arial"/>
              </w:rPr>
              <w:t>Name:</w:t>
            </w:r>
          </w:p>
          <w:p w14:paraId="5E137154" w14:textId="77777777" w:rsidR="00CA417E" w:rsidRPr="00CA417E" w:rsidRDefault="00CA417E" w:rsidP="00CA417E">
            <w:pPr>
              <w:ind w:right="-218"/>
              <w:jc w:val="both"/>
              <w:rPr>
                <w:rFonts w:cs="Arial"/>
              </w:rPr>
            </w:pPr>
            <w:r w:rsidRPr="00CA417E">
              <w:rPr>
                <w:rFonts w:cs="Arial"/>
              </w:rPr>
              <w:t>Title:</w:t>
            </w:r>
          </w:p>
          <w:p w14:paraId="2AEF8D9E" w14:textId="77777777" w:rsidR="00CA417E" w:rsidRPr="00CA417E" w:rsidRDefault="00CA417E" w:rsidP="00CA417E">
            <w:pPr>
              <w:ind w:right="-218"/>
              <w:jc w:val="both"/>
              <w:rPr>
                <w:rFonts w:cs="Arial"/>
              </w:rPr>
            </w:pPr>
          </w:p>
          <w:p w14:paraId="4318A1AB" w14:textId="77777777" w:rsidR="00CA417E" w:rsidRPr="00CA417E" w:rsidRDefault="00CA417E" w:rsidP="00CA417E">
            <w:pPr>
              <w:ind w:right="-218"/>
              <w:jc w:val="both"/>
              <w:rPr>
                <w:rFonts w:cs="Arial"/>
              </w:rPr>
            </w:pPr>
            <w:r w:rsidRPr="00CA417E">
              <w:rPr>
                <w:rFonts w:cs="Arial"/>
              </w:rPr>
              <w:t>_________________________________</w:t>
            </w:r>
          </w:p>
          <w:p w14:paraId="22FEEA99" w14:textId="77777777" w:rsidR="00CA417E" w:rsidRPr="00CA417E" w:rsidRDefault="00CA417E" w:rsidP="00CA417E">
            <w:pPr>
              <w:ind w:right="-218"/>
              <w:jc w:val="both"/>
              <w:rPr>
                <w:rFonts w:cs="Arial"/>
              </w:rPr>
            </w:pPr>
            <w:r w:rsidRPr="00CA417E">
              <w:rPr>
                <w:rFonts w:cs="Arial"/>
              </w:rPr>
              <w:t>Name:</w:t>
            </w:r>
          </w:p>
          <w:p w14:paraId="287AC261" w14:textId="77777777" w:rsidR="00CA417E" w:rsidRPr="00CA417E" w:rsidRDefault="00CA417E" w:rsidP="00CA417E">
            <w:pPr>
              <w:ind w:right="-218"/>
              <w:jc w:val="both"/>
              <w:rPr>
                <w:rFonts w:cs="Arial"/>
              </w:rPr>
            </w:pPr>
            <w:r w:rsidRPr="00CA417E">
              <w:rPr>
                <w:rFonts w:cs="Arial"/>
              </w:rPr>
              <w:t>Title:</w:t>
            </w:r>
          </w:p>
          <w:p w14:paraId="087FD211" w14:textId="77777777" w:rsidR="00CA417E" w:rsidRPr="00CA417E" w:rsidRDefault="00CA417E" w:rsidP="00CA417E">
            <w:pPr>
              <w:ind w:right="-218"/>
              <w:jc w:val="both"/>
              <w:rPr>
                <w:rFonts w:cs="Arial"/>
              </w:rPr>
            </w:pPr>
          </w:p>
          <w:p w14:paraId="2AAA8CF3" w14:textId="77777777" w:rsidR="00CA417E" w:rsidRPr="00CA417E" w:rsidRDefault="00CA417E" w:rsidP="00CA417E">
            <w:pPr>
              <w:ind w:right="-218"/>
              <w:jc w:val="both"/>
              <w:rPr>
                <w:rFonts w:cs="Arial"/>
              </w:rPr>
            </w:pPr>
            <w:r w:rsidRPr="00CA417E">
              <w:rPr>
                <w:rFonts w:cs="Arial"/>
              </w:rPr>
              <w:t>I/we have authority to bind the Corporation.</w:t>
            </w:r>
          </w:p>
        </w:tc>
      </w:tr>
    </w:tbl>
    <w:p w14:paraId="33BF466F" w14:textId="77777777" w:rsidR="00CA417E" w:rsidRPr="00CA417E" w:rsidRDefault="00CA417E" w:rsidP="00FD6EB2">
      <w:pPr>
        <w:ind w:right="-218"/>
        <w:jc w:val="both"/>
        <w:rPr>
          <w:rFonts w:cs="Arial"/>
        </w:rPr>
      </w:pPr>
    </w:p>
    <w:sectPr w:rsidR="00CA417E" w:rsidRPr="00CA417E" w:rsidSect="00672B31">
      <w:headerReference w:type="default" r:id="rId30"/>
      <w:footerReference w:type="even" r:id="rId31"/>
      <w:footerReference w:type="default" r:id="rId32"/>
      <w:footerReference w:type="first" r:id="rId33"/>
      <w:pgSz w:w="12240" w:h="15840" w:code="1"/>
      <w:pgMar w:top="2148" w:right="992" w:bottom="2268" w:left="992" w:header="992" w:footer="1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6E24A" w14:textId="77777777" w:rsidR="00CC173A" w:rsidRDefault="00CC173A">
      <w:r>
        <w:separator/>
      </w:r>
    </w:p>
    <w:p w14:paraId="1D241B5C" w14:textId="77777777" w:rsidR="00CC173A" w:rsidRDefault="00CC173A"/>
  </w:endnote>
  <w:endnote w:type="continuationSeparator" w:id="0">
    <w:p w14:paraId="112260DC" w14:textId="77777777" w:rsidR="00CC173A" w:rsidRDefault="00CC173A">
      <w:r>
        <w:continuationSeparator/>
      </w:r>
    </w:p>
    <w:p w14:paraId="6EEA863A" w14:textId="77777777" w:rsidR="00CC173A" w:rsidRDefault="00CC1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B1A1" w14:textId="77777777" w:rsidR="0084767B" w:rsidRDefault="0084767B" w:rsidP="00ED5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5B933" w14:textId="77777777" w:rsidR="0084767B" w:rsidRDefault="0084767B" w:rsidP="00ED5909">
    <w:pPr>
      <w:pStyle w:val="Footer"/>
      <w:ind w:right="360"/>
    </w:pPr>
  </w:p>
  <w:p w14:paraId="3E556DC2" w14:textId="77777777" w:rsidR="0084767B" w:rsidRDefault="0084767B"/>
  <w:p w14:paraId="63C18F7C" w14:textId="77777777" w:rsidR="0084767B" w:rsidRDefault="0084767B"/>
  <w:p w14:paraId="5C258B3C" w14:textId="77777777" w:rsidR="0084767B" w:rsidRDefault="0084767B"/>
  <w:p w14:paraId="0CB46CF4" w14:textId="77777777" w:rsidR="0084767B" w:rsidRDefault="008476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3593" w14:textId="77777777" w:rsidR="0084767B" w:rsidRDefault="0084767B" w:rsidP="00ED5909">
    <w:pPr>
      <w:pStyle w:val="Footer"/>
      <w:ind w:right="360"/>
      <w:rPr>
        <w:rStyle w:val="PageNumber"/>
        <w:rFonts w:cs="Arial"/>
        <w:noProof/>
        <w:sz w:val="18"/>
      </w:rPr>
    </w:pPr>
  </w:p>
  <w:p w14:paraId="1E2C09A8" w14:textId="77777777" w:rsidR="0084767B" w:rsidRDefault="0084767B" w:rsidP="005F2031">
    <w:pPr>
      <w:pStyle w:val="Footer"/>
      <w:pBdr>
        <w:top w:val="single" w:sz="4" w:space="1" w:color="auto"/>
      </w:pBdr>
      <w:rPr>
        <w:rStyle w:val="PageNumber"/>
        <w:rFonts w:cs="Arial"/>
        <w:noProof/>
        <w:sz w:val="18"/>
      </w:rPr>
    </w:pPr>
  </w:p>
  <w:p w14:paraId="13311C7A" w14:textId="6A7D5FBC" w:rsidR="0084767B" w:rsidRPr="0089652A" w:rsidRDefault="0084767B" w:rsidP="00870F44">
    <w:pPr>
      <w:pStyle w:val="Footer"/>
      <w:rPr>
        <w:rStyle w:val="PageNumber"/>
        <w:rFonts w:cs="Arial"/>
        <w:noProof/>
      </w:rPr>
    </w:pPr>
    <w:r>
      <w:rPr>
        <w:rStyle w:val="PageNumber"/>
        <w:rFonts w:cs="Arial"/>
        <w:noProof/>
      </w:rPr>
      <w:t>Draft – June 2016</w:t>
    </w:r>
  </w:p>
  <w:p w14:paraId="3A2FD11B" w14:textId="5D7ED8F4" w:rsidR="0084767B" w:rsidRDefault="0084767B" w:rsidP="00BA599E">
    <w:pPr>
      <w:pStyle w:val="Tarion-PageNumber"/>
    </w:pPr>
    <w:r w:rsidRPr="008053F2">
      <w:rPr>
        <w:rStyle w:val="PageNumber"/>
      </w:rPr>
      <w:t xml:space="preserve">Page </w:t>
    </w:r>
    <w:r w:rsidRPr="008053F2">
      <w:rPr>
        <w:rStyle w:val="PageNumber"/>
      </w:rPr>
      <w:fldChar w:fldCharType="begin"/>
    </w:r>
    <w:r w:rsidRPr="008053F2">
      <w:rPr>
        <w:rStyle w:val="PageNumber"/>
      </w:rPr>
      <w:instrText xml:space="preserve"> PAGE </w:instrText>
    </w:r>
    <w:r w:rsidRPr="008053F2">
      <w:rPr>
        <w:rStyle w:val="PageNumber"/>
      </w:rPr>
      <w:fldChar w:fldCharType="separate"/>
    </w:r>
    <w:r w:rsidR="00A825A7">
      <w:rPr>
        <w:rStyle w:val="PageNumber"/>
        <w:noProof/>
      </w:rPr>
      <w:t>3</w:t>
    </w:r>
    <w:r w:rsidRPr="008053F2">
      <w:rPr>
        <w:rStyle w:val="PageNumber"/>
      </w:rPr>
      <w:fldChar w:fldCharType="end"/>
    </w:r>
    <w:r w:rsidRPr="008053F2">
      <w:rPr>
        <w:rStyle w:val="PageNumber"/>
      </w:rPr>
      <w:t xml:space="preserve"> of </w:t>
    </w:r>
    <w:r w:rsidRPr="008053F2">
      <w:rPr>
        <w:rStyle w:val="PageNumber"/>
      </w:rPr>
      <w:fldChar w:fldCharType="begin"/>
    </w:r>
    <w:r w:rsidRPr="008053F2">
      <w:rPr>
        <w:rStyle w:val="PageNumber"/>
      </w:rPr>
      <w:instrText xml:space="preserve"> NUMPAGES </w:instrText>
    </w:r>
    <w:r w:rsidRPr="008053F2">
      <w:rPr>
        <w:rStyle w:val="PageNumber"/>
      </w:rPr>
      <w:fldChar w:fldCharType="separate"/>
    </w:r>
    <w:r w:rsidR="00A825A7">
      <w:rPr>
        <w:rStyle w:val="PageNumber"/>
        <w:noProof/>
      </w:rPr>
      <w:t>3</w:t>
    </w:r>
    <w:r w:rsidRPr="008053F2">
      <w:rPr>
        <w:rStyle w:val="PageNumber"/>
      </w:rPr>
      <w:fldChar w:fldCharType="end"/>
    </w:r>
  </w:p>
  <w:p w14:paraId="5D9D9DB4" w14:textId="77777777" w:rsidR="0084767B" w:rsidRDefault="0084767B"/>
  <w:p w14:paraId="62C6D432" w14:textId="77777777" w:rsidR="0084767B" w:rsidRDefault="0084767B"/>
  <w:p w14:paraId="5EB049B1" w14:textId="77777777" w:rsidR="0084767B" w:rsidRDefault="008476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A9D2" w14:textId="417AAA9E" w:rsidR="0084767B" w:rsidRDefault="0084767B">
    <w:pPr>
      <w:pStyle w:val="Footer"/>
    </w:pPr>
    <w:r>
      <w:rPr>
        <w:noProof/>
        <w:lang w:val="en-CA" w:eastAsia="en-CA"/>
      </w:rPr>
      <w:drawing>
        <wp:anchor distT="0" distB="0" distL="114300" distR="114300" simplePos="0" relativeHeight="251658240" behindDoc="0" locked="0" layoutInCell="1" allowOverlap="1" wp14:anchorId="19F03443" wp14:editId="31CCD029">
          <wp:simplePos x="0" y="0"/>
          <wp:positionH relativeFrom="margin">
            <wp:align>right</wp:align>
          </wp:positionH>
          <wp:positionV relativeFrom="margin">
            <wp:posOffset>7363460</wp:posOffset>
          </wp:positionV>
          <wp:extent cx="2555875" cy="468630"/>
          <wp:effectExtent l="0" t="0" r="9525" b="0"/>
          <wp:wrapSquare wrapText="bothSides"/>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on-Logo&amp;Tagline40Years-CMYK.png"/>
                  <pic:cNvPicPr/>
                </pic:nvPicPr>
                <pic:blipFill rotWithShape="1">
                  <a:blip r:embed="rId1">
                    <a:extLst>
                      <a:ext uri="{28A0092B-C50C-407E-A947-70E740481C1C}">
                        <a14:useLocalDpi xmlns:a14="http://schemas.microsoft.com/office/drawing/2010/main" val="0"/>
                      </a:ext>
                    </a:extLst>
                  </a:blip>
                  <a:srcRect l="6282" t="20830" r="6377" b="23250"/>
                  <a:stretch/>
                </pic:blipFill>
                <pic:spPr bwMode="auto">
                  <a:xfrm>
                    <a:off x="0" y="0"/>
                    <a:ext cx="2555875" cy="4686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F9F9" w14:textId="77777777" w:rsidR="00CC173A" w:rsidRDefault="00CC173A">
      <w:r>
        <w:separator/>
      </w:r>
    </w:p>
    <w:p w14:paraId="4F388286" w14:textId="77777777" w:rsidR="00CC173A" w:rsidRDefault="00CC173A"/>
  </w:footnote>
  <w:footnote w:type="continuationSeparator" w:id="0">
    <w:p w14:paraId="42F9E588" w14:textId="77777777" w:rsidR="00CC173A" w:rsidRDefault="00CC173A">
      <w:r>
        <w:continuationSeparator/>
      </w:r>
    </w:p>
    <w:p w14:paraId="07E76A3A" w14:textId="77777777" w:rsidR="00CC173A" w:rsidRDefault="00CC173A"/>
  </w:footnote>
  <w:footnote w:id="1">
    <w:p w14:paraId="61C7F7FC" w14:textId="77777777" w:rsidR="0084767B" w:rsidRPr="00DB3EDD" w:rsidRDefault="0084767B" w:rsidP="007B43F9">
      <w:pPr>
        <w:pStyle w:val="FootnoteText"/>
        <w:rPr>
          <w:rFonts w:ascii="Arial" w:hAnsi="Arial" w:cs="Arial"/>
          <w:sz w:val="18"/>
          <w:szCs w:val="18"/>
        </w:rPr>
      </w:pPr>
      <w:r w:rsidRPr="00DB3EDD">
        <w:rPr>
          <w:rStyle w:val="FootnoteReference"/>
          <w:rFonts w:ascii="Arial" w:hAnsi="Arial" w:cs="Arial"/>
          <w:sz w:val="18"/>
          <w:szCs w:val="18"/>
        </w:rPr>
        <w:footnoteRef/>
      </w:r>
      <w:r w:rsidRPr="00DB3EDD">
        <w:rPr>
          <w:rFonts w:ascii="Arial" w:hAnsi="Arial" w:cs="Arial"/>
          <w:sz w:val="18"/>
          <w:szCs w:val="18"/>
        </w:rPr>
        <w:t xml:space="preserve"> See Regulation ● 2016.  If there is any conflict </w:t>
      </w:r>
      <w:r>
        <w:rPr>
          <w:rFonts w:ascii="Arial" w:hAnsi="Arial" w:cs="Arial"/>
          <w:sz w:val="18"/>
          <w:szCs w:val="18"/>
        </w:rPr>
        <w:t xml:space="preserve">or inconsistency </w:t>
      </w:r>
      <w:r w:rsidRPr="00DB3EDD">
        <w:rPr>
          <w:rFonts w:ascii="Arial" w:hAnsi="Arial" w:cs="Arial"/>
          <w:sz w:val="18"/>
          <w:szCs w:val="18"/>
        </w:rPr>
        <w:t>between this Bulletin and Regulation ●, the Regulation prevails.</w:t>
      </w:r>
    </w:p>
  </w:footnote>
  <w:footnote w:id="2">
    <w:p w14:paraId="4F81626D" w14:textId="77777777" w:rsidR="0084767B" w:rsidRPr="00354815" w:rsidRDefault="0084767B" w:rsidP="007B43F9">
      <w:pPr>
        <w:pStyle w:val="FootnoteText"/>
        <w:rPr>
          <w:rFonts w:ascii="Arial" w:hAnsi="Arial" w:cs="Arial"/>
          <w:sz w:val="18"/>
          <w:szCs w:val="18"/>
          <w:lang w:val="en-CA"/>
        </w:rPr>
      </w:pPr>
      <w:r w:rsidRPr="00354815">
        <w:rPr>
          <w:rStyle w:val="FootnoteReference"/>
          <w:rFonts w:ascii="Arial" w:hAnsi="Arial" w:cs="Arial"/>
        </w:rPr>
        <w:footnoteRef/>
      </w:r>
      <w:r w:rsidRPr="00354815">
        <w:rPr>
          <w:rFonts w:ascii="Arial" w:hAnsi="Arial" w:cs="Arial"/>
        </w:rPr>
        <w:t xml:space="preserve"> </w:t>
      </w:r>
      <w:r w:rsidRPr="00354815">
        <w:rPr>
          <w:rFonts w:ascii="Arial" w:hAnsi="Arial" w:cs="Arial"/>
          <w:sz w:val="18"/>
          <w:szCs w:val="18"/>
        </w:rPr>
        <w:t>In th</w:t>
      </w:r>
      <w:r>
        <w:rPr>
          <w:rFonts w:ascii="Arial" w:hAnsi="Arial" w:cs="Arial"/>
          <w:sz w:val="18"/>
          <w:szCs w:val="18"/>
        </w:rPr>
        <w:t>is document</w:t>
      </w:r>
      <w:r w:rsidRPr="00354815">
        <w:rPr>
          <w:rFonts w:ascii="Arial" w:hAnsi="Arial" w:cs="Arial"/>
          <w:sz w:val="18"/>
          <w:szCs w:val="18"/>
        </w:rPr>
        <w:t xml:space="preserve">, “builder” refers to both “vendor” and “builder” as they are defined in the </w:t>
      </w:r>
      <w:r>
        <w:rPr>
          <w:rFonts w:ascii="Arial" w:hAnsi="Arial" w:cs="Arial"/>
          <w:sz w:val="18"/>
          <w:szCs w:val="18"/>
        </w:rPr>
        <w:t>Act.</w:t>
      </w:r>
      <w:r w:rsidRPr="00354815">
        <w:rPr>
          <w:rFonts w:ascii="Arial" w:hAnsi="Arial" w:cs="Arial"/>
          <w:sz w:val="18"/>
          <w:szCs w:val="18"/>
        </w:rPr>
        <w:t xml:space="preserve"> </w:t>
      </w:r>
    </w:p>
  </w:footnote>
  <w:footnote w:id="3">
    <w:p w14:paraId="31A9CE4F" w14:textId="1A354434" w:rsidR="0084767B" w:rsidRDefault="0084767B" w:rsidP="007B43F9">
      <w:pPr>
        <w:pStyle w:val="FootnoteText"/>
      </w:pPr>
      <w:r w:rsidRPr="006B5474">
        <w:rPr>
          <w:rStyle w:val="FootnoteReference"/>
          <w:rFonts w:ascii="Arial" w:hAnsi="Arial" w:cs="Arial"/>
          <w:sz w:val="18"/>
          <w:szCs w:val="18"/>
        </w:rPr>
        <w:footnoteRef/>
      </w:r>
      <w:r w:rsidRPr="006B5474">
        <w:rPr>
          <w:rFonts w:ascii="Arial" w:hAnsi="Arial" w:cs="Arial"/>
          <w:sz w:val="18"/>
          <w:szCs w:val="18"/>
        </w:rPr>
        <w:t xml:space="preserve"> For</w:t>
      </w:r>
      <w:r w:rsidRPr="001F06EA">
        <w:rPr>
          <w:rFonts w:ascii="Arial" w:hAnsi="Arial" w:cs="Arial"/>
          <w:sz w:val="18"/>
          <w:szCs w:val="18"/>
        </w:rPr>
        <w:t xml:space="preserve"> dwelling units, “homeowner” is the person acquiring the dwelling</w:t>
      </w:r>
      <w:r w:rsidR="00B91F96">
        <w:rPr>
          <w:rFonts w:ascii="Arial" w:hAnsi="Arial" w:cs="Arial"/>
          <w:sz w:val="18"/>
          <w:szCs w:val="18"/>
        </w:rPr>
        <w:t>,</w:t>
      </w:r>
      <w:r w:rsidRPr="001F06EA">
        <w:rPr>
          <w:rFonts w:ascii="Arial" w:hAnsi="Arial" w:cs="Arial"/>
          <w:sz w:val="18"/>
          <w:szCs w:val="18"/>
        </w:rPr>
        <w:t xml:space="preserve"> and for common elements, “homeowner” is the condominium corporation</w:t>
      </w:r>
    </w:p>
  </w:footnote>
  <w:footnote w:id="4">
    <w:p w14:paraId="39F53C0E" w14:textId="77777777" w:rsidR="0084767B" w:rsidRPr="009D4E46" w:rsidRDefault="0084767B" w:rsidP="00E358A1">
      <w:pPr>
        <w:pStyle w:val="FootnoteText"/>
        <w:rPr>
          <w:rFonts w:ascii="Arial" w:hAnsi="Arial" w:cs="Arial"/>
          <w:sz w:val="18"/>
          <w:szCs w:val="18"/>
        </w:rPr>
      </w:pPr>
      <w:r w:rsidRPr="009D4E46">
        <w:rPr>
          <w:rStyle w:val="FootnoteReference"/>
          <w:rFonts w:ascii="Arial" w:hAnsi="Arial" w:cs="Arial"/>
          <w:sz w:val="18"/>
          <w:szCs w:val="18"/>
        </w:rPr>
        <w:footnoteRef/>
      </w:r>
      <w:r w:rsidRPr="009D4E46">
        <w:rPr>
          <w:rFonts w:ascii="Arial" w:hAnsi="Arial" w:cs="Arial"/>
          <w:sz w:val="18"/>
          <w:szCs w:val="18"/>
        </w:rPr>
        <w:t xml:space="preserve"> The builder also has the option of entering into a repair agreement </w:t>
      </w:r>
      <w:r>
        <w:rPr>
          <w:rFonts w:ascii="Arial" w:hAnsi="Arial" w:cs="Arial"/>
          <w:sz w:val="18"/>
          <w:szCs w:val="18"/>
        </w:rPr>
        <w:t>with the homeowner.</w:t>
      </w:r>
    </w:p>
  </w:footnote>
  <w:footnote w:id="5">
    <w:p w14:paraId="531EE293" w14:textId="77777777" w:rsidR="0084767B" w:rsidRPr="003C2432" w:rsidRDefault="0084767B" w:rsidP="00F77EE1">
      <w:pPr>
        <w:pStyle w:val="FootnoteText"/>
        <w:rPr>
          <w:sz w:val="18"/>
          <w:szCs w:val="18"/>
        </w:rPr>
      </w:pPr>
      <w:r w:rsidRPr="003C2432">
        <w:rPr>
          <w:rStyle w:val="FootnoteReference"/>
          <w:rFonts w:ascii="Arial" w:hAnsi="Arial" w:cs="Arial"/>
          <w:sz w:val="18"/>
          <w:szCs w:val="18"/>
        </w:rPr>
        <w:t>1</w:t>
      </w:r>
      <w:r w:rsidRPr="003C2432">
        <w:rPr>
          <w:rFonts w:ascii="Arial" w:hAnsi="Arial" w:cs="Arial"/>
          <w:sz w:val="18"/>
          <w:szCs w:val="18"/>
        </w:rPr>
        <w:t xml:space="preserve"> This is confirmation that the described repair was done on the stated repair date.  It is only for the purpose of confirming the repair completion/repair warranty start date for the item and does not signify acceptance that the repair is proper/adequate.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924D" w14:textId="25DDD49F" w:rsidR="0084767B" w:rsidRDefault="0084767B" w:rsidP="00822C30">
    <w:pPr>
      <w:pStyle w:val="Header"/>
    </w:pPr>
    <w:r>
      <w:rPr>
        <w:noProof/>
        <w:lang w:val="en-CA" w:eastAsia="en-CA"/>
      </w:rPr>
      <w:drawing>
        <wp:inline distT="0" distB="0" distL="0" distR="0" wp14:anchorId="476DC3BB" wp14:editId="58FABAD1">
          <wp:extent cx="1894840" cy="379379"/>
          <wp:effectExtent l="0" t="0" r="10160" b="190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on-Logo&amp;Tagline40Years-CMYK.png"/>
                  <pic:cNvPicPr/>
                </pic:nvPicPr>
                <pic:blipFill rotWithShape="1">
                  <a:blip r:embed="rId1">
                    <a:extLst>
                      <a:ext uri="{28A0092B-C50C-407E-A947-70E740481C1C}">
                        <a14:useLocalDpi xmlns:a14="http://schemas.microsoft.com/office/drawing/2010/main" val="0"/>
                      </a:ext>
                    </a:extLst>
                  </a:blip>
                  <a:srcRect l="6249" t="20471" r="6223" b="18368"/>
                  <a:stretch/>
                </pic:blipFill>
                <pic:spPr bwMode="auto">
                  <a:xfrm>
                    <a:off x="0" y="0"/>
                    <a:ext cx="1895135" cy="37943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7FEC4E5" w14:textId="77777777" w:rsidR="0084767B" w:rsidRDefault="0084767B"/>
  <w:p w14:paraId="2D39A8AC" w14:textId="77777777" w:rsidR="0084767B" w:rsidRDefault="0084767B"/>
  <w:p w14:paraId="0532C362" w14:textId="77777777" w:rsidR="0084767B" w:rsidRDefault="008476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482"/>
    <w:multiLevelType w:val="hybridMultilevel"/>
    <w:tmpl w:val="C400ADA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032A17C5"/>
    <w:multiLevelType w:val="hybridMultilevel"/>
    <w:tmpl w:val="44A623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2D0C90"/>
    <w:multiLevelType w:val="hybridMultilevel"/>
    <w:tmpl w:val="0C44E8DC"/>
    <w:lvl w:ilvl="0" w:tplc="8292A212">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23C9"/>
    <w:multiLevelType w:val="hybridMultilevel"/>
    <w:tmpl w:val="B090F5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025BB"/>
    <w:multiLevelType w:val="hybridMultilevel"/>
    <w:tmpl w:val="7884ED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D159B7"/>
    <w:multiLevelType w:val="hybridMultilevel"/>
    <w:tmpl w:val="2C0AF5BC"/>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0D110114"/>
    <w:multiLevelType w:val="hybridMultilevel"/>
    <w:tmpl w:val="4FC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C4253"/>
    <w:multiLevelType w:val="hybridMultilevel"/>
    <w:tmpl w:val="47A60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80228D"/>
    <w:multiLevelType w:val="hybridMultilevel"/>
    <w:tmpl w:val="6284CE2E"/>
    <w:lvl w:ilvl="0" w:tplc="5628D7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C4A1B"/>
    <w:multiLevelType w:val="hybridMultilevel"/>
    <w:tmpl w:val="886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2F72"/>
    <w:multiLevelType w:val="hybridMultilevel"/>
    <w:tmpl w:val="AE30F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E87644"/>
    <w:multiLevelType w:val="hybridMultilevel"/>
    <w:tmpl w:val="AFBC723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1C841A5B"/>
    <w:multiLevelType w:val="hybridMultilevel"/>
    <w:tmpl w:val="7F346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190DEA"/>
    <w:multiLevelType w:val="hybridMultilevel"/>
    <w:tmpl w:val="9D183366"/>
    <w:lvl w:ilvl="0" w:tplc="1BCA5E5C">
      <w:start w:val="1"/>
      <w:numFmt w:val="bullet"/>
      <w:pStyle w:val="Tarion-Repor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A50AC"/>
    <w:multiLevelType w:val="hybridMultilevel"/>
    <w:tmpl w:val="9716B99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4865A24"/>
    <w:multiLevelType w:val="hybridMultilevel"/>
    <w:tmpl w:val="BEAC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B2003"/>
    <w:multiLevelType w:val="hybridMultilevel"/>
    <w:tmpl w:val="B6B4D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AE2270"/>
    <w:multiLevelType w:val="multilevel"/>
    <w:tmpl w:val="D1A41E4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677376"/>
    <w:multiLevelType w:val="hybridMultilevel"/>
    <w:tmpl w:val="209A014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1E13F45"/>
    <w:multiLevelType w:val="hybridMultilevel"/>
    <w:tmpl w:val="DD8CEFE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3BB25D64"/>
    <w:multiLevelType w:val="hybridMultilevel"/>
    <w:tmpl w:val="261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6116A"/>
    <w:multiLevelType w:val="hybridMultilevel"/>
    <w:tmpl w:val="38265AB4"/>
    <w:lvl w:ilvl="0" w:tplc="33941914">
      <w:start w:val="1"/>
      <w:numFmt w:val="decimal"/>
      <w:pStyle w:val="Tarion-ReportList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23236"/>
    <w:multiLevelType w:val="hybridMultilevel"/>
    <w:tmpl w:val="FA7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D4724"/>
    <w:multiLevelType w:val="hybridMultilevel"/>
    <w:tmpl w:val="61068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662E48"/>
    <w:multiLevelType w:val="hybridMultilevel"/>
    <w:tmpl w:val="52E69C3A"/>
    <w:lvl w:ilvl="0" w:tplc="5628D7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74781"/>
    <w:multiLevelType w:val="hybridMultilevel"/>
    <w:tmpl w:val="DEA89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133D39"/>
    <w:multiLevelType w:val="hybridMultilevel"/>
    <w:tmpl w:val="C34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C286A"/>
    <w:multiLevelType w:val="hybridMultilevel"/>
    <w:tmpl w:val="65C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07110"/>
    <w:multiLevelType w:val="hybridMultilevel"/>
    <w:tmpl w:val="F1EC72C6"/>
    <w:lvl w:ilvl="0" w:tplc="56047182">
      <w:start w:val="201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B7D0B"/>
    <w:multiLevelType w:val="hybridMultilevel"/>
    <w:tmpl w:val="E20097E4"/>
    <w:lvl w:ilvl="0" w:tplc="97EE081E">
      <w:start w:val="1"/>
      <w:numFmt w:val="bullet"/>
      <w:pStyle w:val="Tarion-Report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7D02B3"/>
    <w:multiLevelType w:val="hybridMultilevel"/>
    <w:tmpl w:val="688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3030BD"/>
    <w:multiLevelType w:val="hybridMultilevel"/>
    <w:tmpl w:val="D1A41E4E"/>
    <w:lvl w:ilvl="0" w:tplc="165C3AB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4475C"/>
    <w:multiLevelType w:val="hybridMultilevel"/>
    <w:tmpl w:val="A09ADBD0"/>
    <w:lvl w:ilvl="0" w:tplc="EEE66C3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F0E9A"/>
    <w:multiLevelType w:val="hybridMultilevel"/>
    <w:tmpl w:val="9C9EECF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36F5C62"/>
    <w:multiLevelType w:val="hybridMultilevel"/>
    <w:tmpl w:val="C6006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F35AFB"/>
    <w:multiLevelType w:val="hybridMultilevel"/>
    <w:tmpl w:val="306E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4E65CF"/>
    <w:multiLevelType w:val="hybridMultilevel"/>
    <w:tmpl w:val="E66071D0"/>
    <w:lvl w:ilvl="0" w:tplc="30CEAF50">
      <w:start w:val="2012"/>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8569A7"/>
    <w:multiLevelType w:val="hybridMultilevel"/>
    <w:tmpl w:val="FF2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66136"/>
    <w:multiLevelType w:val="hybridMultilevel"/>
    <w:tmpl w:val="84B8EE06"/>
    <w:lvl w:ilvl="0" w:tplc="1BE20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B63B1"/>
    <w:multiLevelType w:val="hybridMultilevel"/>
    <w:tmpl w:val="557CD138"/>
    <w:lvl w:ilvl="0" w:tplc="BC768F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CA34CCB"/>
    <w:multiLevelType w:val="hybridMultilevel"/>
    <w:tmpl w:val="9C9C7E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D7548DC"/>
    <w:multiLevelType w:val="hybridMultilevel"/>
    <w:tmpl w:val="E8A8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05CA0"/>
    <w:multiLevelType w:val="hybridMultilevel"/>
    <w:tmpl w:val="4E600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0546B2"/>
    <w:multiLevelType w:val="hybridMultilevel"/>
    <w:tmpl w:val="DBB42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25"/>
  </w:num>
  <w:num w:numId="4">
    <w:abstractNumId w:val="10"/>
  </w:num>
  <w:num w:numId="5">
    <w:abstractNumId w:val="16"/>
  </w:num>
  <w:num w:numId="6">
    <w:abstractNumId w:val="4"/>
  </w:num>
  <w:num w:numId="7">
    <w:abstractNumId w:val="12"/>
  </w:num>
  <w:num w:numId="8">
    <w:abstractNumId w:val="18"/>
  </w:num>
  <w:num w:numId="9">
    <w:abstractNumId w:val="35"/>
  </w:num>
  <w:num w:numId="10">
    <w:abstractNumId w:val="31"/>
  </w:num>
  <w:num w:numId="11">
    <w:abstractNumId w:val="17"/>
  </w:num>
  <w:num w:numId="12">
    <w:abstractNumId w:val="24"/>
  </w:num>
  <w:num w:numId="13">
    <w:abstractNumId w:val="8"/>
  </w:num>
  <w:num w:numId="14">
    <w:abstractNumId w:val="2"/>
  </w:num>
  <w:num w:numId="15">
    <w:abstractNumId w:val="6"/>
  </w:num>
  <w:num w:numId="16">
    <w:abstractNumId w:val="19"/>
  </w:num>
  <w:num w:numId="17">
    <w:abstractNumId w:val="26"/>
  </w:num>
  <w:num w:numId="18">
    <w:abstractNumId w:val="27"/>
  </w:num>
  <w:num w:numId="19">
    <w:abstractNumId w:val="37"/>
  </w:num>
  <w:num w:numId="20">
    <w:abstractNumId w:val="28"/>
  </w:num>
  <w:num w:numId="21">
    <w:abstractNumId w:val="22"/>
  </w:num>
  <w:num w:numId="22">
    <w:abstractNumId w:val="32"/>
  </w:num>
  <w:num w:numId="23">
    <w:abstractNumId w:val="34"/>
  </w:num>
  <w:num w:numId="24">
    <w:abstractNumId w:val="30"/>
  </w:num>
  <w:num w:numId="25">
    <w:abstractNumId w:val="40"/>
  </w:num>
  <w:num w:numId="26">
    <w:abstractNumId w:val="7"/>
  </w:num>
  <w:num w:numId="27">
    <w:abstractNumId w:val="33"/>
  </w:num>
  <w:num w:numId="28">
    <w:abstractNumId w:val="14"/>
  </w:num>
  <w:num w:numId="29">
    <w:abstractNumId w:val="13"/>
  </w:num>
  <w:num w:numId="30">
    <w:abstractNumId w:val="20"/>
  </w:num>
  <w:num w:numId="31">
    <w:abstractNumId w:val="9"/>
  </w:num>
  <w:num w:numId="32">
    <w:abstractNumId w:val="29"/>
  </w:num>
  <w:num w:numId="33">
    <w:abstractNumId w:val="21"/>
  </w:num>
  <w:num w:numId="34">
    <w:abstractNumId w:val="42"/>
  </w:num>
  <w:num w:numId="35">
    <w:abstractNumId w:val="15"/>
  </w:num>
  <w:num w:numId="36">
    <w:abstractNumId w:val="41"/>
  </w:num>
  <w:num w:numId="37">
    <w:abstractNumId w:val="38"/>
  </w:num>
  <w:num w:numId="38">
    <w:abstractNumId w:val="11"/>
  </w:num>
  <w:num w:numId="39">
    <w:abstractNumId w:val="3"/>
  </w:num>
  <w:num w:numId="40">
    <w:abstractNumId w:val="23"/>
  </w:num>
  <w:num w:numId="41">
    <w:abstractNumId w:val="39"/>
  </w:num>
  <w:num w:numId="42">
    <w:abstractNumId w:val="1"/>
  </w:num>
  <w:num w:numId="43">
    <w:abstractNumId w:val="0"/>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activeWritingStyle w:appName="MSWord" w:lang="en-CA"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40"/>
    <w:rsid w:val="000034B7"/>
    <w:rsid w:val="00006007"/>
    <w:rsid w:val="00006EB1"/>
    <w:rsid w:val="000101D8"/>
    <w:rsid w:val="00011332"/>
    <w:rsid w:val="0001482C"/>
    <w:rsid w:val="00020445"/>
    <w:rsid w:val="00021D35"/>
    <w:rsid w:val="00023BB6"/>
    <w:rsid w:val="00024B58"/>
    <w:rsid w:val="00026793"/>
    <w:rsid w:val="00027C76"/>
    <w:rsid w:val="00032240"/>
    <w:rsid w:val="0003351E"/>
    <w:rsid w:val="00033E86"/>
    <w:rsid w:val="00034476"/>
    <w:rsid w:val="0004217C"/>
    <w:rsid w:val="00042E96"/>
    <w:rsid w:val="00045958"/>
    <w:rsid w:val="00045D04"/>
    <w:rsid w:val="0004735E"/>
    <w:rsid w:val="000473EF"/>
    <w:rsid w:val="00050EEA"/>
    <w:rsid w:val="00052848"/>
    <w:rsid w:val="00054F74"/>
    <w:rsid w:val="00056196"/>
    <w:rsid w:val="000620AC"/>
    <w:rsid w:val="0006308A"/>
    <w:rsid w:val="00063EA7"/>
    <w:rsid w:val="0006526C"/>
    <w:rsid w:val="000706C5"/>
    <w:rsid w:val="00071195"/>
    <w:rsid w:val="00071D56"/>
    <w:rsid w:val="00072513"/>
    <w:rsid w:val="0007321D"/>
    <w:rsid w:val="00074D9B"/>
    <w:rsid w:val="000756E5"/>
    <w:rsid w:val="00075F4A"/>
    <w:rsid w:val="000817EE"/>
    <w:rsid w:val="00083706"/>
    <w:rsid w:val="00085232"/>
    <w:rsid w:val="000860E9"/>
    <w:rsid w:val="0009057F"/>
    <w:rsid w:val="000918FA"/>
    <w:rsid w:val="000941E1"/>
    <w:rsid w:val="000969AF"/>
    <w:rsid w:val="00097F66"/>
    <w:rsid w:val="000A5BB9"/>
    <w:rsid w:val="000B21A2"/>
    <w:rsid w:val="000B3DB1"/>
    <w:rsid w:val="000B4889"/>
    <w:rsid w:val="000C2AD8"/>
    <w:rsid w:val="000C4153"/>
    <w:rsid w:val="000C76B2"/>
    <w:rsid w:val="000D0246"/>
    <w:rsid w:val="000D1FA0"/>
    <w:rsid w:val="000D383C"/>
    <w:rsid w:val="000D386D"/>
    <w:rsid w:val="000E0782"/>
    <w:rsid w:val="000E0EA2"/>
    <w:rsid w:val="000E0F53"/>
    <w:rsid w:val="000E2FD6"/>
    <w:rsid w:val="000E3CBB"/>
    <w:rsid w:val="000E6DD8"/>
    <w:rsid w:val="000F1F22"/>
    <w:rsid w:val="000F2167"/>
    <w:rsid w:val="000F5616"/>
    <w:rsid w:val="000F778D"/>
    <w:rsid w:val="00100260"/>
    <w:rsid w:val="0010146E"/>
    <w:rsid w:val="00101DD3"/>
    <w:rsid w:val="00111B4F"/>
    <w:rsid w:val="0011225E"/>
    <w:rsid w:val="00116391"/>
    <w:rsid w:val="001164D7"/>
    <w:rsid w:val="001176FF"/>
    <w:rsid w:val="001219CC"/>
    <w:rsid w:val="0012502D"/>
    <w:rsid w:val="00130170"/>
    <w:rsid w:val="00140D50"/>
    <w:rsid w:val="00142F6B"/>
    <w:rsid w:val="00146012"/>
    <w:rsid w:val="00146833"/>
    <w:rsid w:val="00146F01"/>
    <w:rsid w:val="001517D2"/>
    <w:rsid w:val="00157849"/>
    <w:rsid w:val="001637D0"/>
    <w:rsid w:val="0017389A"/>
    <w:rsid w:val="00174612"/>
    <w:rsid w:val="001754FE"/>
    <w:rsid w:val="00182E56"/>
    <w:rsid w:val="0018561B"/>
    <w:rsid w:val="001936C8"/>
    <w:rsid w:val="00196840"/>
    <w:rsid w:val="001A10C1"/>
    <w:rsid w:val="001A4767"/>
    <w:rsid w:val="001A4ECA"/>
    <w:rsid w:val="001B2B15"/>
    <w:rsid w:val="001B2E22"/>
    <w:rsid w:val="001B3133"/>
    <w:rsid w:val="001B4E42"/>
    <w:rsid w:val="001C01F8"/>
    <w:rsid w:val="001C06D1"/>
    <w:rsid w:val="001C6696"/>
    <w:rsid w:val="001C6E03"/>
    <w:rsid w:val="001C6E8A"/>
    <w:rsid w:val="001D10D8"/>
    <w:rsid w:val="001D48C5"/>
    <w:rsid w:val="001D5382"/>
    <w:rsid w:val="001E4503"/>
    <w:rsid w:val="001E7DBE"/>
    <w:rsid w:val="001F512E"/>
    <w:rsid w:val="001F66D8"/>
    <w:rsid w:val="001F6BD2"/>
    <w:rsid w:val="001F7204"/>
    <w:rsid w:val="002014F1"/>
    <w:rsid w:val="00203D58"/>
    <w:rsid w:val="0021208F"/>
    <w:rsid w:val="002228A2"/>
    <w:rsid w:val="00233B01"/>
    <w:rsid w:val="00235260"/>
    <w:rsid w:val="00235A87"/>
    <w:rsid w:val="00240AFA"/>
    <w:rsid w:val="00250870"/>
    <w:rsid w:val="00251CF4"/>
    <w:rsid w:val="00256838"/>
    <w:rsid w:val="00256922"/>
    <w:rsid w:val="00260234"/>
    <w:rsid w:val="00261F1C"/>
    <w:rsid w:val="00266CF0"/>
    <w:rsid w:val="00270EAD"/>
    <w:rsid w:val="00274503"/>
    <w:rsid w:val="00276945"/>
    <w:rsid w:val="002859CC"/>
    <w:rsid w:val="0029218A"/>
    <w:rsid w:val="00294EAF"/>
    <w:rsid w:val="00296419"/>
    <w:rsid w:val="002A0843"/>
    <w:rsid w:val="002A4B67"/>
    <w:rsid w:val="002A5504"/>
    <w:rsid w:val="002A6988"/>
    <w:rsid w:val="002B6307"/>
    <w:rsid w:val="002C2C2A"/>
    <w:rsid w:val="002D0EBB"/>
    <w:rsid w:val="002D32C3"/>
    <w:rsid w:val="002D5656"/>
    <w:rsid w:val="002D7CE6"/>
    <w:rsid w:val="002E52AC"/>
    <w:rsid w:val="002E57DE"/>
    <w:rsid w:val="002E68C8"/>
    <w:rsid w:val="002F3B27"/>
    <w:rsid w:val="002F3BC3"/>
    <w:rsid w:val="002F54F9"/>
    <w:rsid w:val="002F68B0"/>
    <w:rsid w:val="002F6F9F"/>
    <w:rsid w:val="002F7B1D"/>
    <w:rsid w:val="0030077E"/>
    <w:rsid w:val="00303CE6"/>
    <w:rsid w:val="00303D45"/>
    <w:rsid w:val="00306A1F"/>
    <w:rsid w:val="00307715"/>
    <w:rsid w:val="00307868"/>
    <w:rsid w:val="003104D8"/>
    <w:rsid w:val="003211F5"/>
    <w:rsid w:val="00325D22"/>
    <w:rsid w:val="00326B8A"/>
    <w:rsid w:val="003349FE"/>
    <w:rsid w:val="00334C50"/>
    <w:rsid w:val="00341C0B"/>
    <w:rsid w:val="00344FE3"/>
    <w:rsid w:val="0034708D"/>
    <w:rsid w:val="00347737"/>
    <w:rsid w:val="003526A8"/>
    <w:rsid w:val="003562DC"/>
    <w:rsid w:val="003647F4"/>
    <w:rsid w:val="00365CA3"/>
    <w:rsid w:val="003723CB"/>
    <w:rsid w:val="0037286D"/>
    <w:rsid w:val="0039481A"/>
    <w:rsid w:val="00395879"/>
    <w:rsid w:val="003A4DF2"/>
    <w:rsid w:val="003B0ADE"/>
    <w:rsid w:val="003B23A1"/>
    <w:rsid w:val="003B3D1C"/>
    <w:rsid w:val="003B7AC0"/>
    <w:rsid w:val="003C042A"/>
    <w:rsid w:val="003C1081"/>
    <w:rsid w:val="003C3D9F"/>
    <w:rsid w:val="003C6035"/>
    <w:rsid w:val="003D3C95"/>
    <w:rsid w:val="003D6352"/>
    <w:rsid w:val="003D7138"/>
    <w:rsid w:val="003D7CF4"/>
    <w:rsid w:val="003E0363"/>
    <w:rsid w:val="003E1C3F"/>
    <w:rsid w:val="003E5C20"/>
    <w:rsid w:val="003F0A41"/>
    <w:rsid w:val="003F20A3"/>
    <w:rsid w:val="003F66F4"/>
    <w:rsid w:val="003F743F"/>
    <w:rsid w:val="00400D01"/>
    <w:rsid w:val="0040496A"/>
    <w:rsid w:val="004060A4"/>
    <w:rsid w:val="00406917"/>
    <w:rsid w:val="00406AB4"/>
    <w:rsid w:val="00407640"/>
    <w:rsid w:val="004117A5"/>
    <w:rsid w:val="00411A1D"/>
    <w:rsid w:val="00413D0F"/>
    <w:rsid w:val="00420E01"/>
    <w:rsid w:val="0042230F"/>
    <w:rsid w:val="00423585"/>
    <w:rsid w:val="00427CA1"/>
    <w:rsid w:val="004321F5"/>
    <w:rsid w:val="0043262A"/>
    <w:rsid w:val="00436D7E"/>
    <w:rsid w:val="00437157"/>
    <w:rsid w:val="004436D3"/>
    <w:rsid w:val="0044648C"/>
    <w:rsid w:val="00447C6E"/>
    <w:rsid w:val="00450046"/>
    <w:rsid w:val="00454468"/>
    <w:rsid w:val="00455411"/>
    <w:rsid w:val="00455A52"/>
    <w:rsid w:val="00456DE7"/>
    <w:rsid w:val="00461224"/>
    <w:rsid w:val="00461D8C"/>
    <w:rsid w:val="0046443B"/>
    <w:rsid w:val="00471B39"/>
    <w:rsid w:val="00473607"/>
    <w:rsid w:val="004769FB"/>
    <w:rsid w:val="004776EE"/>
    <w:rsid w:val="00480432"/>
    <w:rsid w:val="00482180"/>
    <w:rsid w:val="0048409E"/>
    <w:rsid w:val="00485E2E"/>
    <w:rsid w:val="0049033C"/>
    <w:rsid w:val="00491A31"/>
    <w:rsid w:val="00492CF8"/>
    <w:rsid w:val="00495877"/>
    <w:rsid w:val="004A1290"/>
    <w:rsid w:val="004A1BC6"/>
    <w:rsid w:val="004A2FC5"/>
    <w:rsid w:val="004B439F"/>
    <w:rsid w:val="004B5D53"/>
    <w:rsid w:val="004C2F68"/>
    <w:rsid w:val="004C4807"/>
    <w:rsid w:val="004D27F3"/>
    <w:rsid w:val="004D2896"/>
    <w:rsid w:val="004D3E88"/>
    <w:rsid w:val="004D691F"/>
    <w:rsid w:val="004D792D"/>
    <w:rsid w:val="004E6124"/>
    <w:rsid w:val="004F2EB3"/>
    <w:rsid w:val="004F597B"/>
    <w:rsid w:val="00500C59"/>
    <w:rsid w:val="00502BD1"/>
    <w:rsid w:val="00504F5C"/>
    <w:rsid w:val="00505B2F"/>
    <w:rsid w:val="00507853"/>
    <w:rsid w:val="0051308F"/>
    <w:rsid w:val="00514F9D"/>
    <w:rsid w:val="005246DA"/>
    <w:rsid w:val="005351F7"/>
    <w:rsid w:val="00541A73"/>
    <w:rsid w:val="00542970"/>
    <w:rsid w:val="0054349A"/>
    <w:rsid w:val="00543704"/>
    <w:rsid w:val="00544EAD"/>
    <w:rsid w:val="00545C7D"/>
    <w:rsid w:val="00546A65"/>
    <w:rsid w:val="00546DFE"/>
    <w:rsid w:val="005513E1"/>
    <w:rsid w:val="00564BD0"/>
    <w:rsid w:val="00565377"/>
    <w:rsid w:val="00574093"/>
    <w:rsid w:val="00575192"/>
    <w:rsid w:val="0057533D"/>
    <w:rsid w:val="0058204A"/>
    <w:rsid w:val="00587375"/>
    <w:rsid w:val="00591495"/>
    <w:rsid w:val="00597D8C"/>
    <w:rsid w:val="005A4BBE"/>
    <w:rsid w:val="005A7286"/>
    <w:rsid w:val="005B2E4F"/>
    <w:rsid w:val="005B4C95"/>
    <w:rsid w:val="005C19C5"/>
    <w:rsid w:val="005C68C8"/>
    <w:rsid w:val="005D0A34"/>
    <w:rsid w:val="005D120C"/>
    <w:rsid w:val="005D2055"/>
    <w:rsid w:val="005E084A"/>
    <w:rsid w:val="005E5202"/>
    <w:rsid w:val="005E588F"/>
    <w:rsid w:val="005F2031"/>
    <w:rsid w:val="005F4C60"/>
    <w:rsid w:val="005F5455"/>
    <w:rsid w:val="006013BE"/>
    <w:rsid w:val="00601670"/>
    <w:rsid w:val="00601EC8"/>
    <w:rsid w:val="00614380"/>
    <w:rsid w:val="00625B35"/>
    <w:rsid w:val="00626F21"/>
    <w:rsid w:val="006313EA"/>
    <w:rsid w:val="00632747"/>
    <w:rsid w:val="00633EF6"/>
    <w:rsid w:val="0063550A"/>
    <w:rsid w:val="00642DFD"/>
    <w:rsid w:val="00651041"/>
    <w:rsid w:val="00652540"/>
    <w:rsid w:val="00654C19"/>
    <w:rsid w:val="00657340"/>
    <w:rsid w:val="0066530C"/>
    <w:rsid w:val="0066691B"/>
    <w:rsid w:val="00667627"/>
    <w:rsid w:val="006711ED"/>
    <w:rsid w:val="006718FC"/>
    <w:rsid w:val="00672B31"/>
    <w:rsid w:val="00673830"/>
    <w:rsid w:val="00673E38"/>
    <w:rsid w:val="00674612"/>
    <w:rsid w:val="00675414"/>
    <w:rsid w:val="00681300"/>
    <w:rsid w:val="00682714"/>
    <w:rsid w:val="00682C72"/>
    <w:rsid w:val="00683872"/>
    <w:rsid w:val="00690A94"/>
    <w:rsid w:val="006A5954"/>
    <w:rsid w:val="006B2A25"/>
    <w:rsid w:val="006B42E6"/>
    <w:rsid w:val="006B6D35"/>
    <w:rsid w:val="006B7C45"/>
    <w:rsid w:val="006C2C73"/>
    <w:rsid w:val="006C76A7"/>
    <w:rsid w:val="006D0174"/>
    <w:rsid w:val="006D3CDD"/>
    <w:rsid w:val="006D4E2B"/>
    <w:rsid w:val="006D7E9F"/>
    <w:rsid w:val="006E0401"/>
    <w:rsid w:val="006E2B13"/>
    <w:rsid w:val="006E2D70"/>
    <w:rsid w:val="006E410D"/>
    <w:rsid w:val="006E4C54"/>
    <w:rsid w:val="006F373B"/>
    <w:rsid w:val="006F5C8F"/>
    <w:rsid w:val="006F657D"/>
    <w:rsid w:val="006F743A"/>
    <w:rsid w:val="00704CCC"/>
    <w:rsid w:val="00705F17"/>
    <w:rsid w:val="00706703"/>
    <w:rsid w:val="00713793"/>
    <w:rsid w:val="00724A7F"/>
    <w:rsid w:val="007324F0"/>
    <w:rsid w:val="0073505B"/>
    <w:rsid w:val="00743089"/>
    <w:rsid w:val="0074755D"/>
    <w:rsid w:val="007475AE"/>
    <w:rsid w:val="00752083"/>
    <w:rsid w:val="00752555"/>
    <w:rsid w:val="00752D5C"/>
    <w:rsid w:val="00761654"/>
    <w:rsid w:val="0077138B"/>
    <w:rsid w:val="0077138E"/>
    <w:rsid w:val="00773256"/>
    <w:rsid w:val="007743DC"/>
    <w:rsid w:val="00792182"/>
    <w:rsid w:val="007A26DE"/>
    <w:rsid w:val="007A276F"/>
    <w:rsid w:val="007B43F9"/>
    <w:rsid w:val="007B53F9"/>
    <w:rsid w:val="007C1057"/>
    <w:rsid w:val="007C1235"/>
    <w:rsid w:val="007C29AD"/>
    <w:rsid w:val="007D0F25"/>
    <w:rsid w:val="007D18AF"/>
    <w:rsid w:val="007D25B9"/>
    <w:rsid w:val="007D5817"/>
    <w:rsid w:val="007D6BD4"/>
    <w:rsid w:val="007E120C"/>
    <w:rsid w:val="007E1A97"/>
    <w:rsid w:val="007E2CCA"/>
    <w:rsid w:val="007E40AE"/>
    <w:rsid w:val="007E69F8"/>
    <w:rsid w:val="007E6C4B"/>
    <w:rsid w:val="007F16EF"/>
    <w:rsid w:val="007F3DAC"/>
    <w:rsid w:val="007F42F5"/>
    <w:rsid w:val="007F4C0F"/>
    <w:rsid w:val="007F6922"/>
    <w:rsid w:val="00804CD8"/>
    <w:rsid w:val="00805A66"/>
    <w:rsid w:val="008133FF"/>
    <w:rsid w:val="008143C0"/>
    <w:rsid w:val="00822C30"/>
    <w:rsid w:val="00822CBF"/>
    <w:rsid w:val="00823BB2"/>
    <w:rsid w:val="00823D30"/>
    <w:rsid w:val="00827784"/>
    <w:rsid w:val="00833018"/>
    <w:rsid w:val="008340DF"/>
    <w:rsid w:val="0084101B"/>
    <w:rsid w:val="00842525"/>
    <w:rsid w:val="00843081"/>
    <w:rsid w:val="0084591B"/>
    <w:rsid w:val="0084767B"/>
    <w:rsid w:val="00850DD9"/>
    <w:rsid w:val="00855F6D"/>
    <w:rsid w:val="00861548"/>
    <w:rsid w:val="008638F5"/>
    <w:rsid w:val="00864E98"/>
    <w:rsid w:val="00865F67"/>
    <w:rsid w:val="008664DD"/>
    <w:rsid w:val="00870F44"/>
    <w:rsid w:val="00873821"/>
    <w:rsid w:val="00874A3E"/>
    <w:rsid w:val="00877899"/>
    <w:rsid w:val="00877D5C"/>
    <w:rsid w:val="0088025C"/>
    <w:rsid w:val="008809F1"/>
    <w:rsid w:val="00880F0E"/>
    <w:rsid w:val="00881E78"/>
    <w:rsid w:val="00883E1F"/>
    <w:rsid w:val="00893726"/>
    <w:rsid w:val="0089652A"/>
    <w:rsid w:val="008A14B3"/>
    <w:rsid w:val="008A2C55"/>
    <w:rsid w:val="008B000E"/>
    <w:rsid w:val="008B078A"/>
    <w:rsid w:val="008B4470"/>
    <w:rsid w:val="008B763C"/>
    <w:rsid w:val="008C0422"/>
    <w:rsid w:val="008C05A9"/>
    <w:rsid w:val="008C0E80"/>
    <w:rsid w:val="008C32A1"/>
    <w:rsid w:val="008C34DC"/>
    <w:rsid w:val="008C51D2"/>
    <w:rsid w:val="008C5AA5"/>
    <w:rsid w:val="008D280D"/>
    <w:rsid w:val="008D516C"/>
    <w:rsid w:val="008E36F9"/>
    <w:rsid w:val="008F7270"/>
    <w:rsid w:val="00901605"/>
    <w:rsid w:val="00901C2C"/>
    <w:rsid w:val="00912CA1"/>
    <w:rsid w:val="009139B2"/>
    <w:rsid w:val="009147DC"/>
    <w:rsid w:val="00914AC7"/>
    <w:rsid w:val="00915282"/>
    <w:rsid w:val="00924FB7"/>
    <w:rsid w:val="0093169D"/>
    <w:rsid w:val="00935379"/>
    <w:rsid w:val="0093617F"/>
    <w:rsid w:val="00937922"/>
    <w:rsid w:val="00944280"/>
    <w:rsid w:val="00944D3A"/>
    <w:rsid w:val="00945A58"/>
    <w:rsid w:val="00946D04"/>
    <w:rsid w:val="00951754"/>
    <w:rsid w:val="00953095"/>
    <w:rsid w:val="00955016"/>
    <w:rsid w:val="009551E2"/>
    <w:rsid w:val="00957CED"/>
    <w:rsid w:val="009632A1"/>
    <w:rsid w:val="00963353"/>
    <w:rsid w:val="00963E6F"/>
    <w:rsid w:val="009648CF"/>
    <w:rsid w:val="00970BFE"/>
    <w:rsid w:val="0097330B"/>
    <w:rsid w:val="009762EB"/>
    <w:rsid w:val="009767FD"/>
    <w:rsid w:val="00977031"/>
    <w:rsid w:val="009804AB"/>
    <w:rsid w:val="009855E0"/>
    <w:rsid w:val="00994225"/>
    <w:rsid w:val="009A71FE"/>
    <w:rsid w:val="009A7FC0"/>
    <w:rsid w:val="009B06DF"/>
    <w:rsid w:val="009B3E5A"/>
    <w:rsid w:val="009B4E1E"/>
    <w:rsid w:val="009B76A1"/>
    <w:rsid w:val="009B7723"/>
    <w:rsid w:val="009C0AD8"/>
    <w:rsid w:val="009C206E"/>
    <w:rsid w:val="009C683C"/>
    <w:rsid w:val="009D01F7"/>
    <w:rsid w:val="009D1423"/>
    <w:rsid w:val="009D1BF5"/>
    <w:rsid w:val="009D2604"/>
    <w:rsid w:val="009E2480"/>
    <w:rsid w:val="009E27E7"/>
    <w:rsid w:val="009E427E"/>
    <w:rsid w:val="009E7A53"/>
    <w:rsid w:val="009F24A4"/>
    <w:rsid w:val="009F3641"/>
    <w:rsid w:val="009F639A"/>
    <w:rsid w:val="00A0436B"/>
    <w:rsid w:val="00A056A6"/>
    <w:rsid w:val="00A06D29"/>
    <w:rsid w:val="00A07165"/>
    <w:rsid w:val="00A11078"/>
    <w:rsid w:val="00A1151A"/>
    <w:rsid w:val="00A12577"/>
    <w:rsid w:val="00A13411"/>
    <w:rsid w:val="00A156A9"/>
    <w:rsid w:val="00A15876"/>
    <w:rsid w:val="00A204B8"/>
    <w:rsid w:val="00A20C02"/>
    <w:rsid w:val="00A314CE"/>
    <w:rsid w:val="00A32790"/>
    <w:rsid w:val="00A3520F"/>
    <w:rsid w:val="00A36070"/>
    <w:rsid w:val="00A404A2"/>
    <w:rsid w:val="00A436D2"/>
    <w:rsid w:val="00A43988"/>
    <w:rsid w:val="00A47FFB"/>
    <w:rsid w:val="00A506EA"/>
    <w:rsid w:val="00A5542A"/>
    <w:rsid w:val="00A6099F"/>
    <w:rsid w:val="00A62178"/>
    <w:rsid w:val="00A62BB3"/>
    <w:rsid w:val="00A6643D"/>
    <w:rsid w:val="00A707B0"/>
    <w:rsid w:val="00A71948"/>
    <w:rsid w:val="00A80349"/>
    <w:rsid w:val="00A81313"/>
    <w:rsid w:val="00A825A7"/>
    <w:rsid w:val="00A82F51"/>
    <w:rsid w:val="00A8305C"/>
    <w:rsid w:val="00A85595"/>
    <w:rsid w:val="00A947E0"/>
    <w:rsid w:val="00A9539C"/>
    <w:rsid w:val="00A96522"/>
    <w:rsid w:val="00AA0B44"/>
    <w:rsid w:val="00AA2096"/>
    <w:rsid w:val="00AA4DFB"/>
    <w:rsid w:val="00AB1190"/>
    <w:rsid w:val="00AC61BB"/>
    <w:rsid w:val="00AC7B9B"/>
    <w:rsid w:val="00AD61D1"/>
    <w:rsid w:val="00AE00BE"/>
    <w:rsid w:val="00AE0D57"/>
    <w:rsid w:val="00AE1B73"/>
    <w:rsid w:val="00AE6278"/>
    <w:rsid w:val="00AF0E5F"/>
    <w:rsid w:val="00AF294E"/>
    <w:rsid w:val="00AF2AE3"/>
    <w:rsid w:val="00AF4249"/>
    <w:rsid w:val="00AF452A"/>
    <w:rsid w:val="00AF74ED"/>
    <w:rsid w:val="00B000A3"/>
    <w:rsid w:val="00B030E6"/>
    <w:rsid w:val="00B06BEF"/>
    <w:rsid w:val="00B121AD"/>
    <w:rsid w:val="00B13DBB"/>
    <w:rsid w:val="00B20D31"/>
    <w:rsid w:val="00B2153F"/>
    <w:rsid w:val="00B23747"/>
    <w:rsid w:val="00B23ACC"/>
    <w:rsid w:val="00B24DD4"/>
    <w:rsid w:val="00B26B80"/>
    <w:rsid w:val="00B27055"/>
    <w:rsid w:val="00B31F7D"/>
    <w:rsid w:val="00B332FB"/>
    <w:rsid w:val="00B33A46"/>
    <w:rsid w:val="00B405D5"/>
    <w:rsid w:val="00B427C8"/>
    <w:rsid w:val="00B43577"/>
    <w:rsid w:val="00B44C6F"/>
    <w:rsid w:val="00B50B6C"/>
    <w:rsid w:val="00B51ED0"/>
    <w:rsid w:val="00B53AD6"/>
    <w:rsid w:val="00B563E2"/>
    <w:rsid w:val="00B62A0A"/>
    <w:rsid w:val="00B668BC"/>
    <w:rsid w:val="00B72C7A"/>
    <w:rsid w:val="00B76A2A"/>
    <w:rsid w:val="00B83BEB"/>
    <w:rsid w:val="00B86105"/>
    <w:rsid w:val="00B86CF3"/>
    <w:rsid w:val="00B87BA2"/>
    <w:rsid w:val="00B91F96"/>
    <w:rsid w:val="00BA2D94"/>
    <w:rsid w:val="00BA37CD"/>
    <w:rsid w:val="00BA4CB0"/>
    <w:rsid w:val="00BA599E"/>
    <w:rsid w:val="00BA66F1"/>
    <w:rsid w:val="00BB2124"/>
    <w:rsid w:val="00BB2F9F"/>
    <w:rsid w:val="00BB5B62"/>
    <w:rsid w:val="00BC0A67"/>
    <w:rsid w:val="00BC11C6"/>
    <w:rsid w:val="00BC3911"/>
    <w:rsid w:val="00BC50D0"/>
    <w:rsid w:val="00BC565E"/>
    <w:rsid w:val="00BC6FC3"/>
    <w:rsid w:val="00BC72B2"/>
    <w:rsid w:val="00BD412F"/>
    <w:rsid w:val="00BD45C0"/>
    <w:rsid w:val="00BD4C16"/>
    <w:rsid w:val="00BD5C29"/>
    <w:rsid w:val="00BD6CE6"/>
    <w:rsid w:val="00BE0681"/>
    <w:rsid w:val="00BE106B"/>
    <w:rsid w:val="00BE3B4D"/>
    <w:rsid w:val="00BE502A"/>
    <w:rsid w:val="00BF11AE"/>
    <w:rsid w:val="00BF250E"/>
    <w:rsid w:val="00BF3C9F"/>
    <w:rsid w:val="00BF4CD1"/>
    <w:rsid w:val="00BF54E3"/>
    <w:rsid w:val="00C018C3"/>
    <w:rsid w:val="00C04436"/>
    <w:rsid w:val="00C2234B"/>
    <w:rsid w:val="00C22ADC"/>
    <w:rsid w:val="00C2749B"/>
    <w:rsid w:val="00C318B0"/>
    <w:rsid w:val="00C3375F"/>
    <w:rsid w:val="00C33915"/>
    <w:rsid w:val="00C33EA6"/>
    <w:rsid w:val="00C362D5"/>
    <w:rsid w:val="00C41CFA"/>
    <w:rsid w:val="00C46A61"/>
    <w:rsid w:val="00C47C39"/>
    <w:rsid w:val="00C535D0"/>
    <w:rsid w:val="00C55FFA"/>
    <w:rsid w:val="00C64936"/>
    <w:rsid w:val="00C64D1F"/>
    <w:rsid w:val="00C72CCC"/>
    <w:rsid w:val="00C72FBC"/>
    <w:rsid w:val="00C745AC"/>
    <w:rsid w:val="00C80B47"/>
    <w:rsid w:val="00C86603"/>
    <w:rsid w:val="00C90BC7"/>
    <w:rsid w:val="00C921AB"/>
    <w:rsid w:val="00C9568C"/>
    <w:rsid w:val="00C95A5B"/>
    <w:rsid w:val="00CA33C7"/>
    <w:rsid w:val="00CA417E"/>
    <w:rsid w:val="00CA5DE5"/>
    <w:rsid w:val="00CB2175"/>
    <w:rsid w:val="00CB5377"/>
    <w:rsid w:val="00CB7E8D"/>
    <w:rsid w:val="00CC173A"/>
    <w:rsid w:val="00CC2281"/>
    <w:rsid w:val="00CC671C"/>
    <w:rsid w:val="00CC7A07"/>
    <w:rsid w:val="00CD0118"/>
    <w:rsid w:val="00CD2C8C"/>
    <w:rsid w:val="00CD351D"/>
    <w:rsid w:val="00CD5DF9"/>
    <w:rsid w:val="00CE1394"/>
    <w:rsid w:val="00CE41C3"/>
    <w:rsid w:val="00CE58C7"/>
    <w:rsid w:val="00CE6681"/>
    <w:rsid w:val="00CE7D5A"/>
    <w:rsid w:val="00CF08E9"/>
    <w:rsid w:val="00CF0F41"/>
    <w:rsid w:val="00CF5596"/>
    <w:rsid w:val="00D01DCE"/>
    <w:rsid w:val="00D02C56"/>
    <w:rsid w:val="00D0570F"/>
    <w:rsid w:val="00D10FAC"/>
    <w:rsid w:val="00D1423D"/>
    <w:rsid w:val="00D228EA"/>
    <w:rsid w:val="00D23095"/>
    <w:rsid w:val="00D25098"/>
    <w:rsid w:val="00D3119E"/>
    <w:rsid w:val="00D352AB"/>
    <w:rsid w:val="00D46A52"/>
    <w:rsid w:val="00D5109E"/>
    <w:rsid w:val="00D53D34"/>
    <w:rsid w:val="00D576BC"/>
    <w:rsid w:val="00D627FE"/>
    <w:rsid w:val="00D65F8F"/>
    <w:rsid w:val="00D703B8"/>
    <w:rsid w:val="00D72535"/>
    <w:rsid w:val="00D73411"/>
    <w:rsid w:val="00D7345A"/>
    <w:rsid w:val="00D81D98"/>
    <w:rsid w:val="00D915E5"/>
    <w:rsid w:val="00D926C1"/>
    <w:rsid w:val="00D92DCD"/>
    <w:rsid w:val="00D95EA5"/>
    <w:rsid w:val="00DA13C6"/>
    <w:rsid w:val="00DA1539"/>
    <w:rsid w:val="00DA6F98"/>
    <w:rsid w:val="00DB03BE"/>
    <w:rsid w:val="00DB415C"/>
    <w:rsid w:val="00DB4755"/>
    <w:rsid w:val="00DB5068"/>
    <w:rsid w:val="00DC60EC"/>
    <w:rsid w:val="00DD249D"/>
    <w:rsid w:val="00DD2919"/>
    <w:rsid w:val="00DE3670"/>
    <w:rsid w:val="00DE40F7"/>
    <w:rsid w:val="00DE616E"/>
    <w:rsid w:val="00E02088"/>
    <w:rsid w:val="00E05E1C"/>
    <w:rsid w:val="00E102A6"/>
    <w:rsid w:val="00E14373"/>
    <w:rsid w:val="00E17162"/>
    <w:rsid w:val="00E22447"/>
    <w:rsid w:val="00E22C08"/>
    <w:rsid w:val="00E23BC0"/>
    <w:rsid w:val="00E30BD3"/>
    <w:rsid w:val="00E30F10"/>
    <w:rsid w:val="00E31682"/>
    <w:rsid w:val="00E350A9"/>
    <w:rsid w:val="00E358A1"/>
    <w:rsid w:val="00E35C14"/>
    <w:rsid w:val="00E43D47"/>
    <w:rsid w:val="00E45A9A"/>
    <w:rsid w:val="00E466D5"/>
    <w:rsid w:val="00E47411"/>
    <w:rsid w:val="00E507CB"/>
    <w:rsid w:val="00E51059"/>
    <w:rsid w:val="00E65798"/>
    <w:rsid w:val="00E6633F"/>
    <w:rsid w:val="00E6641A"/>
    <w:rsid w:val="00E6699B"/>
    <w:rsid w:val="00E73E90"/>
    <w:rsid w:val="00E7451A"/>
    <w:rsid w:val="00E81EA7"/>
    <w:rsid w:val="00E858A8"/>
    <w:rsid w:val="00E87E98"/>
    <w:rsid w:val="00E90CE6"/>
    <w:rsid w:val="00E91FA5"/>
    <w:rsid w:val="00E92E6A"/>
    <w:rsid w:val="00E97F6C"/>
    <w:rsid w:val="00EA08BE"/>
    <w:rsid w:val="00EA115C"/>
    <w:rsid w:val="00EA3051"/>
    <w:rsid w:val="00EA4B20"/>
    <w:rsid w:val="00EA529F"/>
    <w:rsid w:val="00EA72B8"/>
    <w:rsid w:val="00EB10C1"/>
    <w:rsid w:val="00EB573D"/>
    <w:rsid w:val="00EC19EF"/>
    <w:rsid w:val="00EC77F3"/>
    <w:rsid w:val="00ED31DC"/>
    <w:rsid w:val="00ED5909"/>
    <w:rsid w:val="00ED5CE7"/>
    <w:rsid w:val="00ED7CF3"/>
    <w:rsid w:val="00EE0875"/>
    <w:rsid w:val="00EE3BBC"/>
    <w:rsid w:val="00EE5622"/>
    <w:rsid w:val="00EE66C4"/>
    <w:rsid w:val="00EF2483"/>
    <w:rsid w:val="00EF38E0"/>
    <w:rsid w:val="00EF46D1"/>
    <w:rsid w:val="00F0071D"/>
    <w:rsid w:val="00F049FC"/>
    <w:rsid w:val="00F15B86"/>
    <w:rsid w:val="00F15D68"/>
    <w:rsid w:val="00F15E47"/>
    <w:rsid w:val="00F228C1"/>
    <w:rsid w:val="00F266C7"/>
    <w:rsid w:val="00F26EF3"/>
    <w:rsid w:val="00F30DCD"/>
    <w:rsid w:val="00F318F1"/>
    <w:rsid w:val="00F35545"/>
    <w:rsid w:val="00F35D4F"/>
    <w:rsid w:val="00F42A1E"/>
    <w:rsid w:val="00F4327F"/>
    <w:rsid w:val="00F5575B"/>
    <w:rsid w:val="00F651C7"/>
    <w:rsid w:val="00F65241"/>
    <w:rsid w:val="00F6754B"/>
    <w:rsid w:val="00F70A59"/>
    <w:rsid w:val="00F70ADA"/>
    <w:rsid w:val="00F73554"/>
    <w:rsid w:val="00F776EC"/>
    <w:rsid w:val="00F77EE1"/>
    <w:rsid w:val="00F8060E"/>
    <w:rsid w:val="00F813B5"/>
    <w:rsid w:val="00F82DC6"/>
    <w:rsid w:val="00F83AEC"/>
    <w:rsid w:val="00F86E88"/>
    <w:rsid w:val="00F97439"/>
    <w:rsid w:val="00F976C1"/>
    <w:rsid w:val="00FB109A"/>
    <w:rsid w:val="00FB17E2"/>
    <w:rsid w:val="00FB3071"/>
    <w:rsid w:val="00FB3D0C"/>
    <w:rsid w:val="00FD6020"/>
    <w:rsid w:val="00FD6EB2"/>
    <w:rsid w:val="00FE1903"/>
    <w:rsid w:val="00FE232D"/>
    <w:rsid w:val="00FE3E92"/>
    <w:rsid w:val="00FE4A6B"/>
    <w:rsid w:val="00FF03E6"/>
    <w:rsid w:val="00FF0599"/>
    <w:rsid w:val="00FF128D"/>
    <w:rsid w:val="00FF3564"/>
    <w:rsid w:val="00FF54D1"/>
    <w:rsid w:val="00FF73F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7E5C57"/>
  <w15:docId w15:val="{4DFA562C-3EF3-46CD-881B-31ABFE50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rion-Normal"/>
    <w:qFormat/>
    <w:rsid w:val="004A1BC6"/>
    <w:rPr>
      <w:rFonts w:ascii="Arial" w:hAnsi="Arial"/>
      <w:lang w:val="en-US" w:eastAsia="en-US"/>
    </w:rPr>
  </w:style>
  <w:style w:type="paragraph" w:styleId="Heading1">
    <w:name w:val="heading 1"/>
    <w:basedOn w:val="Normal"/>
    <w:next w:val="Normal"/>
    <w:rsid w:val="001F512E"/>
    <w:pPr>
      <w:keepNext/>
      <w:outlineLvl w:val="0"/>
    </w:pPr>
    <w:rPr>
      <w:b/>
      <w:sz w:val="22"/>
      <w:u w:val="single"/>
    </w:rPr>
  </w:style>
  <w:style w:type="paragraph" w:styleId="Heading2">
    <w:name w:val="heading 2"/>
    <w:basedOn w:val="Normal"/>
    <w:next w:val="Normal"/>
    <w:rsid w:val="001F512E"/>
    <w:pPr>
      <w:keepNext/>
      <w:outlineLvl w:val="1"/>
    </w:pPr>
    <w:rPr>
      <w:b/>
    </w:rPr>
  </w:style>
  <w:style w:type="paragraph" w:styleId="Heading3">
    <w:name w:val="heading 3"/>
    <w:basedOn w:val="Normal"/>
    <w:next w:val="Normal"/>
    <w:rsid w:val="001F512E"/>
    <w:pPr>
      <w:keepNext/>
      <w:spacing w:line="360" w:lineRule="auto"/>
      <w:jc w:val="center"/>
      <w:outlineLvl w:val="2"/>
    </w:pPr>
    <w:rPr>
      <w:b/>
      <w:sz w:val="22"/>
    </w:rPr>
  </w:style>
  <w:style w:type="paragraph" w:styleId="Heading4">
    <w:name w:val="heading 4"/>
    <w:basedOn w:val="Normal"/>
    <w:next w:val="Normal"/>
    <w:rsid w:val="001F512E"/>
    <w:pPr>
      <w:keepNext/>
      <w:outlineLvl w:val="3"/>
    </w:pPr>
    <w:rPr>
      <w:b/>
      <w:sz w:val="22"/>
    </w:rPr>
  </w:style>
  <w:style w:type="paragraph" w:styleId="Heading5">
    <w:name w:val="heading 5"/>
    <w:basedOn w:val="Normal"/>
    <w:next w:val="Normal"/>
    <w:rsid w:val="001F512E"/>
    <w:pPr>
      <w:keepNext/>
      <w:jc w:val="center"/>
      <w:outlineLvl w:val="4"/>
    </w:pPr>
    <w:rPr>
      <w:sz w:val="24"/>
    </w:rPr>
  </w:style>
  <w:style w:type="paragraph" w:styleId="Heading6">
    <w:name w:val="heading 6"/>
    <w:basedOn w:val="Normal"/>
    <w:next w:val="Normal"/>
    <w:rsid w:val="001F512E"/>
    <w:pPr>
      <w:keepNext/>
      <w:outlineLvl w:val="5"/>
    </w:pPr>
    <w:rPr>
      <w:sz w:val="24"/>
    </w:rPr>
  </w:style>
  <w:style w:type="paragraph" w:styleId="Heading7">
    <w:name w:val="heading 7"/>
    <w:basedOn w:val="Normal"/>
    <w:next w:val="Normal"/>
    <w:rsid w:val="001F512E"/>
    <w:pPr>
      <w:keepNext/>
      <w:jc w:val="center"/>
      <w:outlineLvl w:val="6"/>
    </w:pPr>
    <w:rPr>
      <w:b/>
      <w:sz w:val="24"/>
    </w:rPr>
  </w:style>
  <w:style w:type="paragraph" w:styleId="Heading8">
    <w:name w:val="heading 8"/>
    <w:basedOn w:val="Normal"/>
    <w:next w:val="Normal"/>
    <w:rsid w:val="001F512E"/>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512E"/>
    <w:pPr>
      <w:tabs>
        <w:tab w:val="center" w:pos="4153"/>
        <w:tab w:val="right" w:pos="8306"/>
      </w:tabs>
    </w:pPr>
  </w:style>
  <w:style w:type="paragraph" w:styleId="Footer">
    <w:name w:val="footer"/>
    <w:aliases w:val="Tarion-Footer"/>
    <w:basedOn w:val="Normal"/>
    <w:link w:val="FooterChar"/>
    <w:rsid w:val="0089652A"/>
    <w:pPr>
      <w:tabs>
        <w:tab w:val="center" w:pos="4153"/>
        <w:tab w:val="right" w:pos="8306"/>
      </w:tabs>
    </w:pPr>
  </w:style>
  <w:style w:type="character" w:customStyle="1" w:styleId="FooterChar">
    <w:name w:val="Footer Char"/>
    <w:aliases w:val="Tarion-Footer Char"/>
    <w:basedOn w:val="DefaultParagraphFont"/>
    <w:link w:val="Footer"/>
    <w:rsid w:val="0089652A"/>
    <w:rPr>
      <w:rFonts w:ascii="Arial" w:hAnsi="Arial"/>
      <w:lang w:val="en-US" w:eastAsia="en-US"/>
    </w:rPr>
  </w:style>
  <w:style w:type="character" w:styleId="Hyperlink">
    <w:name w:val="Hyperlink"/>
    <w:rsid w:val="001F512E"/>
    <w:rPr>
      <w:color w:val="0000FF"/>
      <w:u w:val="single"/>
    </w:rPr>
  </w:style>
  <w:style w:type="character" w:styleId="PageNumber">
    <w:name w:val="page number"/>
    <w:basedOn w:val="DefaultParagraphFont"/>
    <w:rsid w:val="001F512E"/>
  </w:style>
  <w:style w:type="table" w:styleId="TableGrid">
    <w:name w:val="Table Grid"/>
    <w:basedOn w:val="TableNormal"/>
    <w:uiPriority w:val="59"/>
    <w:rsid w:val="0019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617F"/>
    <w:pPr>
      <w:spacing w:before="100" w:beforeAutospacing="1" w:after="100" w:afterAutospacing="1"/>
    </w:pPr>
    <w:rPr>
      <w:rFonts w:eastAsia="Calibri"/>
      <w:sz w:val="24"/>
      <w:szCs w:val="24"/>
      <w:lang w:val="en-CA" w:eastAsia="en-CA"/>
    </w:rPr>
  </w:style>
  <w:style w:type="paragraph" w:styleId="ListParagraph">
    <w:name w:val="List Paragraph"/>
    <w:aliases w:val="List Paragraph 2"/>
    <w:basedOn w:val="Normal"/>
    <w:uiPriority w:val="34"/>
    <w:qFormat/>
    <w:rsid w:val="00D703B8"/>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rsid w:val="000E0EA2"/>
    <w:rPr>
      <w:b/>
      <w:bCs/>
    </w:rPr>
  </w:style>
  <w:style w:type="paragraph" w:styleId="EndnoteText">
    <w:name w:val="endnote text"/>
    <w:basedOn w:val="Normal"/>
    <w:link w:val="EndnoteTextChar"/>
    <w:semiHidden/>
    <w:unhideWhenUsed/>
    <w:rsid w:val="00032240"/>
  </w:style>
  <w:style w:type="character" w:customStyle="1" w:styleId="EndnoteTextChar">
    <w:name w:val="Endnote Text Char"/>
    <w:basedOn w:val="DefaultParagraphFont"/>
    <w:link w:val="EndnoteText"/>
    <w:semiHidden/>
    <w:rsid w:val="00032240"/>
    <w:rPr>
      <w:lang w:val="en-US" w:eastAsia="en-US"/>
    </w:rPr>
  </w:style>
  <w:style w:type="character" w:styleId="EndnoteReference">
    <w:name w:val="endnote reference"/>
    <w:basedOn w:val="DefaultParagraphFont"/>
    <w:semiHidden/>
    <w:unhideWhenUsed/>
    <w:rsid w:val="00032240"/>
    <w:rPr>
      <w:vertAlign w:val="superscript"/>
    </w:rPr>
  </w:style>
  <w:style w:type="paragraph" w:customStyle="1" w:styleId="Tarion-ReportHeading2">
    <w:name w:val="Tarion-Report Heading 2"/>
    <w:basedOn w:val="Normal"/>
    <w:qFormat/>
    <w:rsid w:val="004A1BC6"/>
    <w:pPr>
      <w:spacing w:before="280" w:after="280"/>
    </w:pPr>
    <w:rPr>
      <w:rFonts w:cs="Arial"/>
      <w:b/>
      <w:color w:val="6787B7"/>
      <w:sz w:val="24"/>
      <w:szCs w:val="24"/>
      <w:lang w:bidi="en-US"/>
    </w:rPr>
  </w:style>
  <w:style w:type="paragraph" w:customStyle="1" w:styleId="Tarion-TitlePageHeading">
    <w:name w:val="Tarion-Title Page Heading"/>
    <w:basedOn w:val="Normal"/>
    <w:qFormat/>
    <w:rsid w:val="00822C30"/>
    <w:rPr>
      <w:rFonts w:cs="Arial"/>
      <w:b/>
      <w:color w:val="00396C"/>
      <w:sz w:val="80"/>
      <w:szCs w:val="80"/>
      <w:lang w:bidi="en-US"/>
    </w:rPr>
  </w:style>
  <w:style w:type="paragraph" w:customStyle="1" w:styleId="Tarion-TitlePageSubheading">
    <w:name w:val="Tarion-Title Page Subheading"/>
    <w:basedOn w:val="Normal"/>
    <w:qFormat/>
    <w:rsid w:val="00822C30"/>
    <w:rPr>
      <w:rFonts w:cs="Arial"/>
      <w:color w:val="00396C"/>
      <w:sz w:val="40"/>
      <w:szCs w:val="40"/>
      <w:lang w:bidi="en-US"/>
    </w:rPr>
  </w:style>
  <w:style w:type="paragraph" w:customStyle="1" w:styleId="Tarion-ReportHeading1">
    <w:name w:val="Tarion-Report Heading 1"/>
    <w:basedOn w:val="Normal"/>
    <w:qFormat/>
    <w:rsid w:val="004A1BC6"/>
    <w:pPr>
      <w:spacing w:before="280" w:after="280"/>
    </w:pPr>
    <w:rPr>
      <w:rFonts w:cs="Arial"/>
      <w:b/>
      <w:bCs/>
      <w:color w:val="00396C"/>
      <w:sz w:val="32"/>
      <w:szCs w:val="32"/>
      <w:lang w:bidi="en-US"/>
    </w:rPr>
  </w:style>
  <w:style w:type="paragraph" w:customStyle="1" w:styleId="Tarion-PageNumber">
    <w:name w:val="Tarion-Page Number"/>
    <w:basedOn w:val="Footer"/>
    <w:qFormat/>
    <w:rsid w:val="0089652A"/>
    <w:pPr>
      <w:jc w:val="right"/>
    </w:pPr>
  </w:style>
  <w:style w:type="paragraph" w:customStyle="1" w:styleId="Tarion-ReportHeading3">
    <w:name w:val="Tarion-Report Heading 3"/>
    <w:basedOn w:val="Normal"/>
    <w:qFormat/>
    <w:rsid w:val="003C1081"/>
    <w:rPr>
      <w:rFonts w:cs="Arial"/>
      <w:b/>
      <w:lang w:bidi="en-US"/>
    </w:rPr>
  </w:style>
  <w:style w:type="paragraph" w:customStyle="1" w:styleId="Tarion-ReportList1">
    <w:name w:val="Tarion-Report List 1"/>
    <w:basedOn w:val="ListParagraph"/>
    <w:qFormat/>
    <w:rsid w:val="003C1081"/>
    <w:pPr>
      <w:numPr>
        <w:numId w:val="29"/>
      </w:numPr>
    </w:pPr>
    <w:rPr>
      <w:rFonts w:ascii="Arial" w:hAnsi="Arial" w:cs="Arial"/>
      <w:sz w:val="20"/>
      <w:szCs w:val="20"/>
      <w:lang w:bidi="en-US"/>
    </w:rPr>
  </w:style>
  <w:style w:type="paragraph" w:customStyle="1" w:styleId="Tarion-ReportListNumbered">
    <w:name w:val="Tarion-Report List Numbered"/>
    <w:basedOn w:val="ListParagraph"/>
    <w:qFormat/>
    <w:rsid w:val="00BD45C0"/>
    <w:pPr>
      <w:numPr>
        <w:numId w:val="33"/>
      </w:numPr>
    </w:pPr>
    <w:rPr>
      <w:rFonts w:ascii="Arial" w:hAnsi="Arial" w:cs="Arial"/>
      <w:sz w:val="20"/>
      <w:szCs w:val="20"/>
      <w:lang w:bidi="en-US"/>
    </w:rPr>
  </w:style>
  <w:style w:type="paragraph" w:customStyle="1" w:styleId="Tarion-ReportList2">
    <w:name w:val="Tarion-Report List 2"/>
    <w:basedOn w:val="ListParagraph"/>
    <w:qFormat/>
    <w:rsid w:val="00BD45C0"/>
    <w:pPr>
      <w:numPr>
        <w:numId w:val="32"/>
      </w:numPr>
    </w:pPr>
    <w:rPr>
      <w:rFonts w:ascii="Arial" w:hAnsi="Arial" w:cs="Arial"/>
      <w:sz w:val="20"/>
      <w:szCs w:val="20"/>
      <w:lang w:bidi="en-US"/>
    </w:rPr>
  </w:style>
  <w:style w:type="paragraph" w:styleId="FootnoteText">
    <w:name w:val="footnote text"/>
    <w:basedOn w:val="Normal"/>
    <w:link w:val="FootnoteTextChar"/>
    <w:semiHidden/>
    <w:rsid w:val="007B43F9"/>
    <w:rPr>
      <w:rFonts w:ascii="Times New Roman" w:eastAsia="MS Mincho" w:hAnsi="Times New Roman"/>
    </w:rPr>
  </w:style>
  <w:style w:type="character" w:customStyle="1" w:styleId="FootnoteTextChar">
    <w:name w:val="Footnote Text Char"/>
    <w:basedOn w:val="DefaultParagraphFont"/>
    <w:link w:val="FootnoteText"/>
    <w:semiHidden/>
    <w:rsid w:val="007B43F9"/>
    <w:rPr>
      <w:rFonts w:eastAsia="MS Mincho"/>
      <w:lang w:val="en-US" w:eastAsia="en-US"/>
    </w:rPr>
  </w:style>
  <w:style w:type="character" w:styleId="FootnoteReference">
    <w:name w:val="footnote reference"/>
    <w:semiHidden/>
    <w:rsid w:val="007B43F9"/>
    <w:rPr>
      <w:vertAlign w:val="superscript"/>
    </w:rPr>
  </w:style>
  <w:style w:type="character" w:styleId="FollowedHyperlink">
    <w:name w:val="FollowedHyperlink"/>
    <w:basedOn w:val="DefaultParagraphFont"/>
    <w:rsid w:val="007B4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0894">
      <w:bodyDiv w:val="1"/>
      <w:marLeft w:val="0"/>
      <w:marRight w:val="0"/>
      <w:marTop w:val="0"/>
      <w:marBottom w:val="0"/>
      <w:divBdr>
        <w:top w:val="none" w:sz="0" w:space="0" w:color="auto"/>
        <w:left w:val="none" w:sz="0" w:space="0" w:color="auto"/>
        <w:bottom w:val="none" w:sz="0" w:space="0" w:color="auto"/>
        <w:right w:val="none" w:sz="0" w:space="0" w:color="auto"/>
      </w:divBdr>
    </w:div>
    <w:div w:id="347367659">
      <w:bodyDiv w:val="1"/>
      <w:marLeft w:val="0"/>
      <w:marRight w:val="0"/>
      <w:marTop w:val="0"/>
      <w:marBottom w:val="0"/>
      <w:divBdr>
        <w:top w:val="none" w:sz="0" w:space="0" w:color="auto"/>
        <w:left w:val="none" w:sz="0" w:space="0" w:color="auto"/>
        <w:bottom w:val="none" w:sz="0" w:space="0" w:color="auto"/>
        <w:right w:val="none" w:sz="0" w:space="0" w:color="auto"/>
      </w:divBdr>
      <w:divsChild>
        <w:div w:id="31421996">
          <w:marLeft w:val="0"/>
          <w:marRight w:val="0"/>
          <w:marTop w:val="0"/>
          <w:marBottom w:val="0"/>
          <w:divBdr>
            <w:top w:val="none" w:sz="0" w:space="0" w:color="auto"/>
            <w:left w:val="none" w:sz="0" w:space="0" w:color="auto"/>
            <w:bottom w:val="none" w:sz="0" w:space="0" w:color="auto"/>
            <w:right w:val="none" w:sz="0" w:space="0" w:color="auto"/>
          </w:divBdr>
          <w:divsChild>
            <w:div w:id="160892601">
              <w:marLeft w:val="0"/>
              <w:marRight w:val="0"/>
              <w:marTop w:val="0"/>
              <w:marBottom w:val="0"/>
              <w:divBdr>
                <w:top w:val="none" w:sz="0" w:space="0" w:color="auto"/>
                <w:left w:val="none" w:sz="0" w:space="0" w:color="auto"/>
                <w:bottom w:val="none" w:sz="0" w:space="0" w:color="auto"/>
                <w:right w:val="none" w:sz="0" w:space="0" w:color="auto"/>
              </w:divBdr>
            </w:div>
          </w:divsChild>
        </w:div>
        <w:div w:id="1413701392">
          <w:marLeft w:val="0"/>
          <w:marRight w:val="0"/>
          <w:marTop w:val="0"/>
          <w:marBottom w:val="0"/>
          <w:divBdr>
            <w:top w:val="none" w:sz="0" w:space="0" w:color="auto"/>
            <w:left w:val="none" w:sz="0" w:space="0" w:color="auto"/>
            <w:bottom w:val="none" w:sz="0" w:space="0" w:color="auto"/>
            <w:right w:val="none" w:sz="0" w:space="0" w:color="auto"/>
          </w:divBdr>
          <w:divsChild>
            <w:div w:id="689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8344">
      <w:bodyDiv w:val="1"/>
      <w:marLeft w:val="0"/>
      <w:marRight w:val="0"/>
      <w:marTop w:val="0"/>
      <w:marBottom w:val="0"/>
      <w:divBdr>
        <w:top w:val="none" w:sz="0" w:space="0" w:color="auto"/>
        <w:left w:val="none" w:sz="0" w:space="0" w:color="auto"/>
        <w:bottom w:val="none" w:sz="0" w:space="0" w:color="auto"/>
        <w:right w:val="none" w:sz="0" w:space="0" w:color="auto"/>
      </w:divBdr>
    </w:div>
    <w:div w:id="412093164">
      <w:bodyDiv w:val="1"/>
      <w:marLeft w:val="0"/>
      <w:marRight w:val="0"/>
      <w:marTop w:val="0"/>
      <w:marBottom w:val="0"/>
      <w:divBdr>
        <w:top w:val="none" w:sz="0" w:space="0" w:color="auto"/>
        <w:left w:val="none" w:sz="0" w:space="0" w:color="auto"/>
        <w:bottom w:val="none" w:sz="0" w:space="0" w:color="auto"/>
        <w:right w:val="none" w:sz="0" w:space="0" w:color="auto"/>
      </w:divBdr>
    </w:div>
    <w:div w:id="65741580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1190224147">
      <w:bodyDiv w:val="1"/>
      <w:marLeft w:val="0"/>
      <w:marRight w:val="0"/>
      <w:marTop w:val="0"/>
      <w:marBottom w:val="0"/>
      <w:divBdr>
        <w:top w:val="none" w:sz="0" w:space="0" w:color="auto"/>
        <w:left w:val="none" w:sz="0" w:space="0" w:color="auto"/>
        <w:bottom w:val="none" w:sz="0" w:space="0" w:color="auto"/>
        <w:right w:val="none" w:sz="0" w:space="0" w:color="auto"/>
      </w:divBdr>
    </w:div>
    <w:div w:id="1368095720">
      <w:bodyDiv w:val="1"/>
      <w:marLeft w:val="0"/>
      <w:marRight w:val="0"/>
      <w:marTop w:val="0"/>
      <w:marBottom w:val="0"/>
      <w:divBdr>
        <w:top w:val="none" w:sz="0" w:space="0" w:color="auto"/>
        <w:left w:val="none" w:sz="0" w:space="0" w:color="auto"/>
        <w:bottom w:val="none" w:sz="0" w:space="0" w:color="auto"/>
        <w:right w:val="none" w:sz="0" w:space="0" w:color="auto"/>
      </w:divBdr>
    </w:div>
    <w:div w:id="1437018351">
      <w:bodyDiv w:val="1"/>
      <w:marLeft w:val="0"/>
      <w:marRight w:val="0"/>
      <w:marTop w:val="0"/>
      <w:marBottom w:val="0"/>
      <w:divBdr>
        <w:top w:val="none" w:sz="0" w:space="0" w:color="auto"/>
        <w:left w:val="none" w:sz="0" w:space="0" w:color="auto"/>
        <w:bottom w:val="none" w:sz="0" w:space="0" w:color="auto"/>
        <w:right w:val="none" w:sz="0" w:space="0" w:color="auto"/>
      </w:divBdr>
    </w:div>
    <w:div w:id="1626548146">
      <w:bodyDiv w:val="1"/>
      <w:marLeft w:val="0"/>
      <w:marRight w:val="0"/>
      <w:marTop w:val="0"/>
      <w:marBottom w:val="0"/>
      <w:divBdr>
        <w:top w:val="none" w:sz="0" w:space="0" w:color="auto"/>
        <w:left w:val="none" w:sz="0" w:space="0" w:color="auto"/>
        <w:bottom w:val="none" w:sz="0" w:space="0" w:color="auto"/>
        <w:right w:val="none" w:sz="0" w:space="0" w:color="auto"/>
      </w:divBdr>
      <w:divsChild>
        <w:div w:id="566841426">
          <w:marLeft w:val="0"/>
          <w:marRight w:val="0"/>
          <w:marTop w:val="0"/>
          <w:marBottom w:val="0"/>
          <w:divBdr>
            <w:top w:val="none" w:sz="0" w:space="0" w:color="auto"/>
            <w:left w:val="none" w:sz="0" w:space="0" w:color="auto"/>
            <w:bottom w:val="none" w:sz="0" w:space="0" w:color="auto"/>
            <w:right w:val="none" w:sz="0" w:space="0" w:color="auto"/>
          </w:divBdr>
        </w:div>
        <w:div w:id="1994720192">
          <w:marLeft w:val="0"/>
          <w:marRight w:val="0"/>
          <w:marTop w:val="0"/>
          <w:marBottom w:val="0"/>
          <w:divBdr>
            <w:top w:val="none" w:sz="0" w:space="0" w:color="auto"/>
            <w:left w:val="none" w:sz="0" w:space="0" w:color="auto"/>
            <w:bottom w:val="none" w:sz="0" w:space="0" w:color="auto"/>
            <w:right w:val="none" w:sz="0" w:space="0" w:color="auto"/>
          </w:divBdr>
        </w:div>
        <w:div w:id="1584757372">
          <w:marLeft w:val="0"/>
          <w:marRight w:val="0"/>
          <w:marTop w:val="0"/>
          <w:marBottom w:val="0"/>
          <w:divBdr>
            <w:top w:val="none" w:sz="0" w:space="0" w:color="auto"/>
            <w:left w:val="none" w:sz="0" w:space="0" w:color="auto"/>
            <w:bottom w:val="none" w:sz="0" w:space="0" w:color="auto"/>
            <w:right w:val="none" w:sz="0" w:space="0" w:color="auto"/>
          </w:divBdr>
        </w:div>
        <w:div w:id="144011084">
          <w:marLeft w:val="0"/>
          <w:marRight w:val="0"/>
          <w:marTop w:val="0"/>
          <w:marBottom w:val="0"/>
          <w:divBdr>
            <w:top w:val="none" w:sz="0" w:space="0" w:color="auto"/>
            <w:left w:val="none" w:sz="0" w:space="0" w:color="auto"/>
            <w:bottom w:val="none" w:sz="0" w:space="0" w:color="auto"/>
            <w:right w:val="none" w:sz="0" w:space="0" w:color="auto"/>
          </w:divBdr>
        </w:div>
        <w:div w:id="1772773299">
          <w:marLeft w:val="0"/>
          <w:marRight w:val="0"/>
          <w:marTop w:val="0"/>
          <w:marBottom w:val="0"/>
          <w:divBdr>
            <w:top w:val="none" w:sz="0" w:space="0" w:color="auto"/>
            <w:left w:val="none" w:sz="0" w:space="0" w:color="auto"/>
            <w:bottom w:val="none" w:sz="0" w:space="0" w:color="auto"/>
            <w:right w:val="none" w:sz="0" w:space="0" w:color="auto"/>
          </w:divBdr>
        </w:div>
        <w:div w:id="1924030621">
          <w:marLeft w:val="0"/>
          <w:marRight w:val="0"/>
          <w:marTop w:val="0"/>
          <w:marBottom w:val="0"/>
          <w:divBdr>
            <w:top w:val="none" w:sz="0" w:space="0" w:color="auto"/>
            <w:left w:val="none" w:sz="0" w:space="0" w:color="auto"/>
            <w:bottom w:val="none" w:sz="0" w:space="0" w:color="auto"/>
            <w:right w:val="none" w:sz="0" w:space="0" w:color="auto"/>
          </w:divBdr>
        </w:div>
        <w:div w:id="2069569084">
          <w:marLeft w:val="0"/>
          <w:marRight w:val="0"/>
          <w:marTop w:val="0"/>
          <w:marBottom w:val="0"/>
          <w:divBdr>
            <w:top w:val="none" w:sz="0" w:space="0" w:color="auto"/>
            <w:left w:val="none" w:sz="0" w:space="0" w:color="auto"/>
            <w:bottom w:val="none" w:sz="0" w:space="0" w:color="auto"/>
            <w:right w:val="none" w:sz="0" w:space="0" w:color="auto"/>
          </w:divBdr>
        </w:div>
        <w:div w:id="8071249">
          <w:marLeft w:val="0"/>
          <w:marRight w:val="0"/>
          <w:marTop w:val="0"/>
          <w:marBottom w:val="0"/>
          <w:divBdr>
            <w:top w:val="none" w:sz="0" w:space="0" w:color="auto"/>
            <w:left w:val="none" w:sz="0" w:space="0" w:color="auto"/>
            <w:bottom w:val="none" w:sz="0" w:space="0" w:color="auto"/>
            <w:right w:val="none" w:sz="0" w:space="0" w:color="auto"/>
          </w:divBdr>
        </w:div>
        <w:div w:id="1356661012">
          <w:marLeft w:val="0"/>
          <w:marRight w:val="0"/>
          <w:marTop w:val="0"/>
          <w:marBottom w:val="0"/>
          <w:divBdr>
            <w:top w:val="none" w:sz="0" w:space="0" w:color="auto"/>
            <w:left w:val="none" w:sz="0" w:space="0" w:color="auto"/>
            <w:bottom w:val="none" w:sz="0" w:space="0" w:color="auto"/>
            <w:right w:val="none" w:sz="0" w:space="0" w:color="auto"/>
          </w:divBdr>
        </w:div>
        <w:div w:id="1987784710">
          <w:marLeft w:val="0"/>
          <w:marRight w:val="0"/>
          <w:marTop w:val="0"/>
          <w:marBottom w:val="0"/>
          <w:divBdr>
            <w:top w:val="none" w:sz="0" w:space="0" w:color="auto"/>
            <w:left w:val="none" w:sz="0" w:space="0" w:color="auto"/>
            <w:bottom w:val="none" w:sz="0" w:space="0" w:color="auto"/>
            <w:right w:val="none" w:sz="0" w:space="0" w:color="auto"/>
          </w:divBdr>
        </w:div>
        <w:div w:id="2123916096">
          <w:marLeft w:val="0"/>
          <w:marRight w:val="0"/>
          <w:marTop w:val="0"/>
          <w:marBottom w:val="0"/>
          <w:divBdr>
            <w:top w:val="none" w:sz="0" w:space="0" w:color="auto"/>
            <w:left w:val="none" w:sz="0" w:space="0" w:color="auto"/>
            <w:bottom w:val="none" w:sz="0" w:space="0" w:color="auto"/>
            <w:right w:val="none" w:sz="0" w:space="0" w:color="auto"/>
          </w:divBdr>
        </w:div>
        <w:div w:id="904800197">
          <w:marLeft w:val="0"/>
          <w:marRight w:val="0"/>
          <w:marTop w:val="0"/>
          <w:marBottom w:val="0"/>
          <w:divBdr>
            <w:top w:val="none" w:sz="0" w:space="0" w:color="auto"/>
            <w:left w:val="none" w:sz="0" w:space="0" w:color="auto"/>
            <w:bottom w:val="none" w:sz="0" w:space="0" w:color="auto"/>
            <w:right w:val="none" w:sz="0" w:space="0" w:color="auto"/>
          </w:divBdr>
        </w:div>
        <w:div w:id="929965577">
          <w:marLeft w:val="0"/>
          <w:marRight w:val="0"/>
          <w:marTop w:val="0"/>
          <w:marBottom w:val="0"/>
          <w:divBdr>
            <w:top w:val="none" w:sz="0" w:space="0" w:color="auto"/>
            <w:left w:val="none" w:sz="0" w:space="0" w:color="auto"/>
            <w:bottom w:val="none" w:sz="0" w:space="0" w:color="auto"/>
            <w:right w:val="none" w:sz="0" w:space="0" w:color="auto"/>
          </w:divBdr>
        </w:div>
        <w:div w:id="1052002411">
          <w:marLeft w:val="0"/>
          <w:marRight w:val="0"/>
          <w:marTop w:val="0"/>
          <w:marBottom w:val="0"/>
          <w:divBdr>
            <w:top w:val="none" w:sz="0" w:space="0" w:color="auto"/>
            <w:left w:val="none" w:sz="0" w:space="0" w:color="auto"/>
            <w:bottom w:val="none" w:sz="0" w:space="0" w:color="auto"/>
            <w:right w:val="none" w:sz="0" w:space="0" w:color="auto"/>
          </w:divBdr>
        </w:div>
        <w:div w:id="1155335166">
          <w:marLeft w:val="0"/>
          <w:marRight w:val="0"/>
          <w:marTop w:val="0"/>
          <w:marBottom w:val="0"/>
          <w:divBdr>
            <w:top w:val="none" w:sz="0" w:space="0" w:color="auto"/>
            <w:left w:val="none" w:sz="0" w:space="0" w:color="auto"/>
            <w:bottom w:val="none" w:sz="0" w:space="0" w:color="auto"/>
            <w:right w:val="none" w:sz="0" w:space="0" w:color="auto"/>
          </w:divBdr>
        </w:div>
        <w:div w:id="992490556">
          <w:marLeft w:val="0"/>
          <w:marRight w:val="0"/>
          <w:marTop w:val="0"/>
          <w:marBottom w:val="0"/>
          <w:divBdr>
            <w:top w:val="none" w:sz="0" w:space="0" w:color="auto"/>
            <w:left w:val="none" w:sz="0" w:space="0" w:color="auto"/>
            <w:bottom w:val="none" w:sz="0" w:space="0" w:color="auto"/>
            <w:right w:val="none" w:sz="0" w:space="0" w:color="auto"/>
          </w:divBdr>
          <w:divsChild>
            <w:div w:id="608895492">
              <w:marLeft w:val="0"/>
              <w:marRight w:val="0"/>
              <w:marTop w:val="0"/>
              <w:marBottom w:val="0"/>
              <w:divBdr>
                <w:top w:val="none" w:sz="0" w:space="0" w:color="auto"/>
                <w:left w:val="none" w:sz="0" w:space="0" w:color="auto"/>
                <w:bottom w:val="none" w:sz="0" w:space="0" w:color="auto"/>
                <w:right w:val="none" w:sz="0" w:space="0" w:color="auto"/>
              </w:divBdr>
            </w:div>
            <w:div w:id="1588610075">
              <w:marLeft w:val="0"/>
              <w:marRight w:val="0"/>
              <w:marTop w:val="0"/>
              <w:marBottom w:val="0"/>
              <w:divBdr>
                <w:top w:val="none" w:sz="0" w:space="0" w:color="auto"/>
                <w:left w:val="none" w:sz="0" w:space="0" w:color="auto"/>
                <w:bottom w:val="none" w:sz="0" w:space="0" w:color="auto"/>
                <w:right w:val="none" w:sz="0" w:space="0" w:color="auto"/>
              </w:divBdr>
            </w:div>
            <w:div w:id="1420058396">
              <w:marLeft w:val="0"/>
              <w:marRight w:val="0"/>
              <w:marTop w:val="0"/>
              <w:marBottom w:val="0"/>
              <w:divBdr>
                <w:top w:val="none" w:sz="0" w:space="0" w:color="auto"/>
                <w:left w:val="none" w:sz="0" w:space="0" w:color="auto"/>
                <w:bottom w:val="none" w:sz="0" w:space="0" w:color="auto"/>
                <w:right w:val="none" w:sz="0" w:space="0" w:color="auto"/>
              </w:divBdr>
            </w:div>
            <w:div w:id="1359507799">
              <w:marLeft w:val="0"/>
              <w:marRight w:val="0"/>
              <w:marTop w:val="0"/>
              <w:marBottom w:val="0"/>
              <w:divBdr>
                <w:top w:val="none" w:sz="0" w:space="0" w:color="auto"/>
                <w:left w:val="none" w:sz="0" w:space="0" w:color="auto"/>
                <w:bottom w:val="none" w:sz="0" w:space="0" w:color="auto"/>
                <w:right w:val="none" w:sz="0" w:space="0" w:color="auto"/>
              </w:divBdr>
            </w:div>
            <w:div w:id="1000431259">
              <w:marLeft w:val="0"/>
              <w:marRight w:val="0"/>
              <w:marTop w:val="0"/>
              <w:marBottom w:val="0"/>
              <w:divBdr>
                <w:top w:val="none" w:sz="0" w:space="0" w:color="auto"/>
                <w:left w:val="none" w:sz="0" w:space="0" w:color="auto"/>
                <w:bottom w:val="none" w:sz="0" w:space="0" w:color="auto"/>
                <w:right w:val="none" w:sz="0" w:space="0" w:color="auto"/>
              </w:divBdr>
            </w:div>
            <w:div w:id="2024437585">
              <w:marLeft w:val="0"/>
              <w:marRight w:val="0"/>
              <w:marTop w:val="0"/>
              <w:marBottom w:val="0"/>
              <w:divBdr>
                <w:top w:val="none" w:sz="0" w:space="0" w:color="auto"/>
                <w:left w:val="none" w:sz="0" w:space="0" w:color="auto"/>
                <w:bottom w:val="none" w:sz="0" w:space="0" w:color="auto"/>
                <w:right w:val="none" w:sz="0" w:space="0" w:color="auto"/>
              </w:divBdr>
            </w:div>
            <w:div w:id="419832343">
              <w:marLeft w:val="0"/>
              <w:marRight w:val="0"/>
              <w:marTop w:val="0"/>
              <w:marBottom w:val="0"/>
              <w:divBdr>
                <w:top w:val="none" w:sz="0" w:space="0" w:color="auto"/>
                <w:left w:val="none" w:sz="0" w:space="0" w:color="auto"/>
                <w:bottom w:val="none" w:sz="0" w:space="0" w:color="auto"/>
                <w:right w:val="none" w:sz="0" w:space="0" w:color="auto"/>
              </w:divBdr>
            </w:div>
            <w:div w:id="1858032480">
              <w:marLeft w:val="0"/>
              <w:marRight w:val="0"/>
              <w:marTop w:val="0"/>
              <w:marBottom w:val="0"/>
              <w:divBdr>
                <w:top w:val="none" w:sz="0" w:space="0" w:color="auto"/>
                <w:left w:val="none" w:sz="0" w:space="0" w:color="auto"/>
                <w:bottom w:val="none" w:sz="0" w:space="0" w:color="auto"/>
                <w:right w:val="none" w:sz="0" w:space="0" w:color="auto"/>
              </w:divBdr>
            </w:div>
            <w:div w:id="793720909">
              <w:marLeft w:val="0"/>
              <w:marRight w:val="0"/>
              <w:marTop w:val="0"/>
              <w:marBottom w:val="0"/>
              <w:divBdr>
                <w:top w:val="none" w:sz="0" w:space="0" w:color="auto"/>
                <w:left w:val="none" w:sz="0" w:space="0" w:color="auto"/>
                <w:bottom w:val="none" w:sz="0" w:space="0" w:color="auto"/>
                <w:right w:val="none" w:sz="0" w:space="0" w:color="auto"/>
              </w:divBdr>
            </w:div>
            <w:div w:id="1838837059">
              <w:marLeft w:val="0"/>
              <w:marRight w:val="0"/>
              <w:marTop w:val="0"/>
              <w:marBottom w:val="0"/>
              <w:divBdr>
                <w:top w:val="none" w:sz="0" w:space="0" w:color="auto"/>
                <w:left w:val="none" w:sz="0" w:space="0" w:color="auto"/>
                <w:bottom w:val="none" w:sz="0" w:space="0" w:color="auto"/>
                <w:right w:val="none" w:sz="0" w:space="0" w:color="auto"/>
              </w:divBdr>
            </w:div>
          </w:divsChild>
        </w:div>
        <w:div w:id="123037807">
          <w:marLeft w:val="0"/>
          <w:marRight w:val="0"/>
          <w:marTop w:val="0"/>
          <w:marBottom w:val="0"/>
          <w:divBdr>
            <w:top w:val="none" w:sz="0" w:space="0" w:color="auto"/>
            <w:left w:val="none" w:sz="0" w:space="0" w:color="auto"/>
            <w:bottom w:val="none" w:sz="0" w:space="0" w:color="auto"/>
            <w:right w:val="none" w:sz="0" w:space="0" w:color="auto"/>
          </w:divBdr>
        </w:div>
        <w:div w:id="359669781">
          <w:marLeft w:val="0"/>
          <w:marRight w:val="0"/>
          <w:marTop w:val="0"/>
          <w:marBottom w:val="0"/>
          <w:divBdr>
            <w:top w:val="none" w:sz="0" w:space="0" w:color="auto"/>
            <w:left w:val="none" w:sz="0" w:space="0" w:color="auto"/>
            <w:bottom w:val="none" w:sz="0" w:space="0" w:color="auto"/>
            <w:right w:val="none" w:sz="0" w:space="0" w:color="auto"/>
          </w:divBdr>
        </w:div>
        <w:div w:id="1277638715">
          <w:marLeft w:val="0"/>
          <w:marRight w:val="0"/>
          <w:marTop w:val="0"/>
          <w:marBottom w:val="0"/>
          <w:divBdr>
            <w:top w:val="none" w:sz="0" w:space="0" w:color="auto"/>
            <w:left w:val="none" w:sz="0" w:space="0" w:color="auto"/>
            <w:bottom w:val="none" w:sz="0" w:space="0" w:color="auto"/>
            <w:right w:val="none" w:sz="0" w:space="0" w:color="auto"/>
          </w:divBdr>
        </w:div>
        <w:div w:id="1248416204">
          <w:marLeft w:val="0"/>
          <w:marRight w:val="0"/>
          <w:marTop w:val="0"/>
          <w:marBottom w:val="0"/>
          <w:divBdr>
            <w:top w:val="none" w:sz="0" w:space="0" w:color="auto"/>
            <w:left w:val="none" w:sz="0" w:space="0" w:color="auto"/>
            <w:bottom w:val="none" w:sz="0" w:space="0" w:color="auto"/>
            <w:right w:val="none" w:sz="0" w:space="0" w:color="auto"/>
          </w:divBdr>
        </w:div>
        <w:div w:id="551429574">
          <w:marLeft w:val="0"/>
          <w:marRight w:val="0"/>
          <w:marTop w:val="0"/>
          <w:marBottom w:val="0"/>
          <w:divBdr>
            <w:top w:val="none" w:sz="0" w:space="0" w:color="auto"/>
            <w:left w:val="none" w:sz="0" w:space="0" w:color="auto"/>
            <w:bottom w:val="none" w:sz="0" w:space="0" w:color="auto"/>
            <w:right w:val="none" w:sz="0" w:space="0" w:color="auto"/>
          </w:divBdr>
        </w:div>
        <w:div w:id="582646178">
          <w:marLeft w:val="0"/>
          <w:marRight w:val="0"/>
          <w:marTop w:val="0"/>
          <w:marBottom w:val="0"/>
          <w:divBdr>
            <w:top w:val="none" w:sz="0" w:space="0" w:color="auto"/>
            <w:left w:val="none" w:sz="0" w:space="0" w:color="auto"/>
            <w:bottom w:val="none" w:sz="0" w:space="0" w:color="auto"/>
            <w:right w:val="none" w:sz="0" w:space="0" w:color="auto"/>
          </w:divBdr>
          <w:divsChild>
            <w:div w:id="933322962">
              <w:marLeft w:val="0"/>
              <w:marRight w:val="0"/>
              <w:marTop w:val="0"/>
              <w:marBottom w:val="0"/>
              <w:divBdr>
                <w:top w:val="none" w:sz="0" w:space="0" w:color="auto"/>
                <w:left w:val="none" w:sz="0" w:space="0" w:color="auto"/>
                <w:bottom w:val="none" w:sz="0" w:space="0" w:color="auto"/>
                <w:right w:val="none" w:sz="0" w:space="0" w:color="auto"/>
              </w:divBdr>
            </w:div>
            <w:div w:id="61217345">
              <w:marLeft w:val="0"/>
              <w:marRight w:val="0"/>
              <w:marTop w:val="0"/>
              <w:marBottom w:val="0"/>
              <w:divBdr>
                <w:top w:val="none" w:sz="0" w:space="0" w:color="auto"/>
                <w:left w:val="none" w:sz="0" w:space="0" w:color="auto"/>
                <w:bottom w:val="none" w:sz="0" w:space="0" w:color="auto"/>
                <w:right w:val="none" w:sz="0" w:space="0" w:color="auto"/>
              </w:divBdr>
            </w:div>
            <w:div w:id="835654739">
              <w:marLeft w:val="0"/>
              <w:marRight w:val="0"/>
              <w:marTop w:val="0"/>
              <w:marBottom w:val="0"/>
              <w:divBdr>
                <w:top w:val="none" w:sz="0" w:space="0" w:color="auto"/>
                <w:left w:val="none" w:sz="0" w:space="0" w:color="auto"/>
                <w:bottom w:val="none" w:sz="0" w:space="0" w:color="auto"/>
                <w:right w:val="none" w:sz="0" w:space="0" w:color="auto"/>
              </w:divBdr>
            </w:div>
            <w:div w:id="838499693">
              <w:marLeft w:val="0"/>
              <w:marRight w:val="0"/>
              <w:marTop w:val="0"/>
              <w:marBottom w:val="0"/>
              <w:divBdr>
                <w:top w:val="none" w:sz="0" w:space="0" w:color="auto"/>
                <w:left w:val="none" w:sz="0" w:space="0" w:color="auto"/>
                <w:bottom w:val="none" w:sz="0" w:space="0" w:color="auto"/>
                <w:right w:val="none" w:sz="0" w:space="0" w:color="auto"/>
              </w:divBdr>
            </w:div>
            <w:div w:id="1993171967">
              <w:marLeft w:val="0"/>
              <w:marRight w:val="0"/>
              <w:marTop w:val="0"/>
              <w:marBottom w:val="0"/>
              <w:divBdr>
                <w:top w:val="none" w:sz="0" w:space="0" w:color="auto"/>
                <w:left w:val="none" w:sz="0" w:space="0" w:color="auto"/>
                <w:bottom w:val="none" w:sz="0" w:space="0" w:color="auto"/>
                <w:right w:val="none" w:sz="0" w:space="0" w:color="auto"/>
              </w:divBdr>
            </w:div>
            <w:div w:id="1614557483">
              <w:marLeft w:val="0"/>
              <w:marRight w:val="0"/>
              <w:marTop w:val="0"/>
              <w:marBottom w:val="0"/>
              <w:divBdr>
                <w:top w:val="none" w:sz="0" w:space="0" w:color="auto"/>
                <w:left w:val="none" w:sz="0" w:space="0" w:color="auto"/>
                <w:bottom w:val="none" w:sz="0" w:space="0" w:color="auto"/>
                <w:right w:val="none" w:sz="0" w:space="0" w:color="auto"/>
              </w:divBdr>
            </w:div>
            <w:div w:id="1362320210">
              <w:marLeft w:val="0"/>
              <w:marRight w:val="0"/>
              <w:marTop w:val="0"/>
              <w:marBottom w:val="0"/>
              <w:divBdr>
                <w:top w:val="none" w:sz="0" w:space="0" w:color="auto"/>
                <w:left w:val="none" w:sz="0" w:space="0" w:color="auto"/>
                <w:bottom w:val="none" w:sz="0" w:space="0" w:color="auto"/>
                <w:right w:val="none" w:sz="0" w:space="0" w:color="auto"/>
              </w:divBdr>
            </w:div>
            <w:div w:id="1907186409">
              <w:marLeft w:val="0"/>
              <w:marRight w:val="0"/>
              <w:marTop w:val="0"/>
              <w:marBottom w:val="0"/>
              <w:divBdr>
                <w:top w:val="none" w:sz="0" w:space="0" w:color="auto"/>
                <w:left w:val="none" w:sz="0" w:space="0" w:color="auto"/>
                <w:bottom w:val="none" w:sz="0" w:space="0" w:color="auto"/>
                <w:right w:val="none" w:sz="0" w:space="0" w:color="auto"/>
              </w:divBdr>
            </w:div>
            <w:div w:id="10401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on.com/Resources/hip/Pages/default.aspx" TargetMode="External"/><Relationship Id="rId13" Type="http://schemas.openxmlformats.org/officeDocument/2006/relationships/hyperlink" Target="https://www.tarion.com/New-Home-Builders/Policies-and-Guidelines/Builder%20Bulletins/b49final_june3.pdf" TargetMode="External"/><Relationship Id="rId18" Type="http://schemas.openxmlformats.org/officeDocument/2006/relationships/hyperlink" Target="http://www.tarion.com/About-Tarion/Public-Consultations/Documents/BB20%20June%201%202015.pdf" TargetMode="External"/><Relationship Id="rId26" Type="http://schemas.openxmlformats.org/officeDocument/2006/relationships/hyperlink" Target="https://www.sse.gov.on.ca/lat/english/Pages/default.aspx" TargetMode="External"/><Relationship Id="rId3" Type="http://schemas.openxmlformats.org/officeDocument/2006/relationships/styles" Target="styles.xml"/><Relationship Id="rId21" Type="http://schemas.openxmlformats.org/officeDocument/2006/relationships/hyperlink" Target="https://www.tarion.com/New-Home-Builders/Policies-and-Guidelines/Builder%20Bulletins/b49final_june3.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arion.com/New-Home-Builders/Policies-and-Guidelines/Builder%20Bulletins/BuilderBulletin42CSSMar1009FINAL.pdf" TargetMode="External"/><Relationship Id="rId17" Type="http://schemas.openxmlformats.org/officeDocument/2006/relationships/hyperlink" Target="http://www.tarion.com/About-Tarion/Public-Consultations/Documents/BB20%20June%201%202015.pdf" TargetMode="External"/><Relationship Id="rId25" Type="http://schemas.openxmlformats.org/officeDocument/2006/relationships/hyperlink" Target="http://www.tarion.com/New-Home-Builders/Documents/BAF%20Documentation/New%20Effective%20Oct.%2031-2013%20Documents/BB41%20%28Revised%29%202013%20%284%29.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arion.com/New-Home-Builders/Policies-and-Guidelines/Builder%20Bulletins/b49final_june3.pdf" TargetMode="External"/><Relationship Id="rId20" Type="http://schemas.openxmlformats.org/officeDocument/2006/relationships/hyperlink" Target="https://www.tarion.com/New-Home-Builders/Policies-and-Guidelines/Builder%20Bulletins/BuilderBulletin42CSSMar1009FINAL.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ion.com/Warranty-Protection/Pages/Condominium%20Common%20Elements%20Coverage.aspx" TargetMode="External"/><Relationship Id="rId24" Type="http://schemas.openxmlformats.org/officeDocument/2006/relationships/hyperlink" Target="https://www.sse.gov.on.ca/lat/english/Pages/default.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rion.com/About-Tarion/Public-Consultations/Documents/BB20%20June%201%202015.pdf" TargetMode="External"/><Relationship Id="rId23" Type="http://schemas.openxmlformats.org/officeDocument/2006/relationships/hyperlink" Target="https://www.tarion.com/New-Home-Builders/Policies-and-Guidelines/Builder%20Bulletins/b49final_june3.pdf" TargetMode="External"/><Relationship Id="rId28" Type="http://schemas.openxmlformats.org/officeDocument/2006/relationships/image" Target="media/image1.png"/><Relationship Id="rId10" Type="http://schemas.openxmlformats.org/officeDocument/2006/relationships/hyperlink" Target="https://www.tarion.com/New-Home-Builders/Policies-and-Guidelines/Builder%20Bulletins/b49final_june3.pdf" TargetMode="External"/><Relationship Id="rId19" Type="http://schemas.openxmlformats.org/officeDocument/2006/relationships/hyperlink" Target="http://www.tarion.com/About-Tarion/Public-Consultations/Documents/BB20%20June%201%202015.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ion.com/New-Home-Builders/Policies-and-Guidelines/Builder%20Bulletins/BuilderBulletin42CSSMar1009FINAL.pdf" TargetMode="External"/><Relationship Id="rId14" Type="http://schemas.openxmlformats.org/officeDocument/2006/relationships/hyperlink" Target="http://www.tarion.com/About-Tarion/Public-Consultations/Documents/BB20%20June%201%202015.pdf" TargetMode="External"/><Relationship Id="rId22" Type="http://schemas.openxmlformats.org/officeDocument/2006/relationships/hyperlink" Target="https://www.tarion.com/New-Home-Builders/Policies-and-Guidelines/Builder%20Bulletins/BuilderBulletin42CSSMar1009FINAL.pdf" TargetMode="External"/><Relationship Id="rId27" Type="http://schemas.openxmlformats.org/officeDocument/2006/relationships/hyperlink" Target="http://www.tarion.com/New-Home-Builders/Documents/BAF%20Documentation/New%20Effective%20Oct.%2031-2013%20Documents/BB41%20%28Revised%29%202013%20%284%29.pdf" TargetMode="External"/><Relationship Id="rId30" Type="http://schemas.openxmlformats.org/officeDocument/2006/relationships/header" Target="head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3C60-102E-4F8C-BF02-C1E84001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4386</Words>
  <Characters>25003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OSP Inc.</Company>
  <LinksUpToDate>false</LinksUpToDate>
  <CharactersWithSpaces>29331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Laughlen</dc:creator>
  <cp:keywords/>
  <cp:lastModifiedBy>Larissa Smit</cp:lastModifiedBy>
  <cp:revision>2</cp:revision>
  <cp:lastPrinted>2016-03-17T15:44:00Z</cp:lastPrinted>
  <dcterms:created xsi:type="dcterms:W3CDTF">2016-06-22T19:26:00Z</dcterms:created>
  <dcterms:modified xsi:type="dcterms:W3CDTF">2016-06-22T19:26:00Z</dcterms:modified>
</cp:coreProperties>
</file>