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FAE" w:rsidRDefault="00047FAE">
      <w:pPr>
        <w:spacing w:line="200" w:lineRule="exact"/>
        <w:rPr>
          <w:sz w:val="20"/>
          <w:szCs w:val="20"/>
        </w:rPr>
      </w:pPr>
      <w:bookmarkStart w:id="0" w:name="_GoBack"/>
      <w:bookmarkEnd w:id="0"/>
    </w:p>
    <w:p w:rsidR="00047FAE" w:rsidRDefault="00047FAE">
      <w:pPr>
        <w:spacing w:line="200" w:lineRule="exact"/>
        <w:rPr>
          <w:sz w:val="20"/>
          <w:szCs w:val="20"/>
        </w:rPr>
      </w:pPr>
    </w:p>
    <w:p w:rsidR="00047FAE" w:rsidRDefault="00047FAE">
      <w:pPr>
        <w:spacing w:before="1" w:line="200" w:lineRule="exact"/>
        <w:rPr>
          <w:sz w:val="20"/>
          <w:szCs w:val="20"/>
        </w:rPr>
      </w:pPr>
    </w:p>
    <w:p w:rsidR="00047FAE" w:rsidRDefault="00A24ED0">
      <w:pPr>
        <w:spacing w:before="8"/>
        <w:ind w:left="1158" w:right="781" w:firstLine="5"/>
        <w:jc w:val="center"/>
        <w:rPr>
          <w:rFonts w:ascii="Arial" w:eastAsia="Arial" w:hAnsi="Arial" w:cs="Arial"/>
          <w:sz w:val="72"/>
          <w:szCs w:val="72"/>
        </w:rPr>
      </w:pPr>
      <w:r w:rsidRPr="007309FF">
        <w:rPr>
          <w:rFonts w:ascii="Arial" w:eastAsia="Arial" w:hAnsi="Arial" w:cs="Arial"/>
          <w:b/>
          <w:bCs/>
          <w:sz w:val="72"/>
          <w:szCs w:val="72"/>
        </w:rPr>
        <w:t>CONSEIL CONSULTATIF EN MATIÈRE DE DROIT DES AFFAIRES DE L’ONTARIO</w:t>
      </w:r>
    </w:p>
    <w:p w:rsidR="00047FAE" w:rsidRDefault="00047FAE">
      <w:pPr>
        <w:spacing w:line="200" w:lineRule="exact"/>
        <w:rPr>
          <w:sz w:val="20"/>
          <w:szCs w:val="20"/>
        </w:rPr>
      </w:pPr>
    </w:p>
    <w:p w:rsidR="00047FAE" w:rsidRDefault="00047FAE">
      <w:pPr>
        <w:spacing w:line="200" w:lineRule="exact"/>
        <w:rPr>
          <w:sz w:val="20"/>
          <w:szCs w:val="20"/>
        </w:rPr>
      </w:pPr>
    </w:p>
    <w:p w:rsidR="00047FAE" w:rsidRDefault="00047FAE">
      <w:pPr>
        <w:spacing w:line="200" w:lineRule="exact"/>
        <w:rPr>
          <w:sz w:val="20"/>
          <w:szCs w:val="20"/>
        </w:rPr>
      </w:pPr>
    </w:p>
    <w:p w:rsidR="00047FAE" w:rsidRDefault="00047FAE">
      <w:pPr>
        <w:spacing w:before="18" w:line="280" w:lineRule="exact"/>
        <w:rPr>
          <w:sz w:val="28"/>
          <w:szCs w:val="28"/>
        </w:rPr>
      </w:pPr>
    </w:p>
    <w:p w:rsidR="00047FAE" w:rsidRDefault="007309FF">
      <w:pPr>
        <w:ind w:left="377"/>
        <w:jc w:val="center"/>
        <w:rPr>
          <w:rFonts w:ascii="Arial" w:eastAsia="Arial" w:hAnsi="Arial" w:cs="Arial"/>
          <w:sz w:val="42"/>
          <w:szCs w:val="42"/>
        </w:rPr>
      </w:pPr>
      <w:r w:rsidRPr="007309FF">
        <w:rPr>
          <w:rFonts w:ascii="Arial" w:eastAsia="Arial" w:hAnsi="Arial" w:cs="Arial"/>
          <w:spacing w:val="-1"/>
          <w:sz w:val="42"/>
          <w:szCs w:val="42"/>
        </w:rPr>
        <w:t>RAPPORT À L’INTENTION D</w:t>
      </w:r>
      <w:r>
        <w:rPr>
          <w:rFonts w:ascii="Arial" w:eastAsia="Arial" w:hAnsi="Arial" w:cs="Arial"/>
          <w:spacing w:val="-1"/>
          <w:sz w:val="42"/>
          <w:szCs w:val="42"/>
        </w:rPr>
        <w:t>E LA</w:t>
      </w:r>
    </w:p>
    <w:p w:rsidR="00047FAE" w:rsidRDefault="00047FAE">
      <w:pPr>
        <w:spacing w:before="2" w:line="160" w:lineRule="exact"/>
        <w:rPr>
          <w:sz w:val="16"/>
          <w:szCs w:val="16"/>
        </w:rPr>
      </w:pPr>
    </w:p>
    <w:p w:rsidR="00047FAE" w:rsidRDefault="00047FAE">
      <w:pPr>
        <w:spacing w:line="200" w:lineRule="exact"/>
        <w:rPr>
          <w:sz w:val="20"/>
          <w:szCs w:val="20"/>
        </w:rPr>
      </w:pPr>
    </w:p>
    <w:p w:rsidR="00047FAE" w:rsidRDefault="00047FAE">
      <w:pPr>
        <w:spacing w:line="200" w:lineRule="exact"/>
        <w:rPr>
          <w:sz w:val="20"/>
          <w:szCs w:val="20"/>
        </w:rPr>
      </w:pPr>
    </w:p>
    <w:p w:rsidR="00047FAE" w:rsidRDefault="00047FAE">
      <w:pPr>
        <w:spacing w:line="200" w:lineRule="exact"/>
        <w:rPr>
          <w:sz w:val="20"/>
          <w:szCs w:val="20"/>
        </w:rPr>
      </w:pPr>
    </w:p>
    <w:p w:rsidR="00047FAE" w:rsidRDefault="00047FAE">
      <w:pPr>
        <w:spacing w:line="200" w:lineRule="exact"/>
        <w:rPr>
          <w:sz w:val="20"/>
          <w:szCs w:val="20"/>
        </w:rPr>
      </w:pPr>
    </w:p>
    <w:p w:rsidR="00047FAE" w:rsidRDefault="007309FF">
      <w:pPr>
        <w:ind w:left="1359" w:right="981"/>
        <w:jc w:val="center"/>
        <w:rPr>
          <w:rFonts w:ascii="Arial" w:eastAsia="Arial" w:hAnsi="Arial" w:cs="Arial"/>
          <w:sz w:val="42"/>
          <w:szCs w:val="42"/>
        </w:rPr>
      </w:pPr>
      <w:r w:rsidRPr="007309FF">
        <w:rPr>
          <w:rFonts w:ascii="Arial" w:eastAsia="Arial" w:hAnsi="Arial" w:cs="Arial"/>
          <w:sz w:val="42"/>
          <w:szCs w:val="42"/>
        </w:rPr>
        <w:t>MINISTRE DES SERVICES GOUVERNEMENTAUX ET DES SERVICES AUX CONSOMMATEURS</w:t>
      </w:r>
    </w:p>
    <w:p w:rsidR="00047FAE" w:rsidRDefault="00047FAE">
      <w:pPr>
        <w:spacing w:before="6" w:line="110" w:lineRule="exact"/>
        <w:rPr>
          <w:sz w:val="11"/>
          <w:szCs w:val="11"/>
        </w:rPr>
      </w:pPr>
    </w:p>
    <w:p w:rsidR="00047FAE" w:rsidRDefault="00047FAE">
      <w:pPr>
        <w:spacing w:line="200" w:lineRule="exact"/>
        <w:rPr>
          <w:sz w:val="20"/>
          <w:szCs w:val="20"/>
        </w:rPr>
      </w:pPr>
    </w:p>
    <w:p w:rsidR="00047FAE" w:rsidRDefault="00047FAE">
      <w:pPr>
        <w:spacing w:line="200" w:lineRule="exact"/>
        <w:rPr>
          <w:sz w:val="20"/>
          <w:szCs w:val="20"/>
        </w:rPr>
      </w:pPr>
    </w:p>
    <w:p w:rsidR="00047FAE" w:rsidRDefault="00047FAE">
      <w:pPr>
        <w:spacing w:line="200" w:lineRule="exact"/>
        <w:rPr>
          <w:sz w:val="20"/>
          <w:szCs w:val="20"/>
        </w:rPr>
      </w:pPr>
    </w:p>
    <w:p w:rsidR="00047FAE" w:rsidRDefault="00047FAE">
      <w:pPr>
        <w:spacing w:line="200" w:lineRule="exact"/>
        <w:rPr>
          <w:sz w:val="20"/>
          <w:szCs w:val="20"/>
        </w:rPr>
      </w:pPr>
    </w:p>
    <w:p w:rsidR="00047FAE" w:rsidRDefault="00047FAE">
      <w:pPr>
        <w:spacing w:line="200" w:lineRule="exact"/>
        <w:rPr>
          <w:sz w:val="20"/>
          <w:szCs w:val="20"/>
        </w:rPr>
      </w:pPr>
    </w:p>
    <w:p w:rsidR="00047FAE" w:rsidRDefault="00047FAE">
      <w:pPr>
        <w:spacing w:line="200" w:lineRule="exact"/>
        <w:rPr>
          <w:sz w:val="20"/>
          <w:szCs w:val="20"/>
        </w:rPr>
      </w:pPr>
    </w:p>
    <w:p w:rsidR="00047FAE" w:rsidRDefault="00047FAE">
      <w:pPr>
        <w:spacing w:line="200" w:lineRule="exact"/>
        <w:rPr>
          <w:sz w:val="20"/>
          <w:szCs w:val="20"/>
        </w:rPr>
      </w:pPr>
    </w:p>
    <w:p w:rsidR="00047FAE" w:rsidRDefault="00047FAE">
      <w:pPr>
        <w:spacing w:line="200" w:lineRule="exact"/>
        <w:rPr>
          <w:sz w:val="20"/>
          <w:szCs w:val="20"/>
        </w:rPr>
      </w:pPr>
    </w:p>
    <w:p w:rsidR="00047FAE" w:rsidRDefault="00047FAE">
      <w:pPr>
        <w:spacing w:line="200" w:lineRule="exact"/>
        <w:rPr>
          <w:sz w:val="20"/>
          <w:szCs w:val="20"/>
        </w:rPr>
      </w:pPr>
    </w:p>
    <w:p w:rsidR="00047FAE" w:rsidRDefault="00047FAE">
      <w:pPr>
        <w:spacing w:line="200" w:lineRule="exact"/>
        <w:rPr>
          <w:sz w:val="20"/>
          <w:szCs w:val="20"/>
        </w:rPr>
      </w:pPr>
    </w:p>
    <w:p w:rsidR="00047FAE" w:rsidRDefault="00047FAE">
      <w:pPr>
        <w:spacing w:line="200" w:lineRule="exact"/>
        <w:rPr>
          <w:sz w:val="20"/>
          <w:szCs w:val="20"/>
        </w:rPr>
      </w:pPr>
    </w:p>
    <w:p w:rsidR="00047FAE" w:rsidRDefault="00047FAE">
      <w:pPr>
        <w:spacing w:line="200" w:lineRule="exact"/>
        <w:rPr>
          <w:sz w:val="20"/>
          <w:szCs w:val="20"/>
        </w:rPr>
      </w:pPr>
    </w:p>
    <w:p w:rsidR="00047FAE" w:rsidRDefault="00047FAE">
      <w:pPr>
        <w:spacing w:line="200" w:lineRule="exact"/>
        <w:rPr>
          <w:sz w:val="20"/>
          <w:szCs w:val="20"/>
        </w:rPr>
      </w:pPr>
    </w:p>
    <w:p w:rsidR="00047FAE" w:rsidRDefault="00047FAE">
      <w:pPr>
        <w:spacing w:line="200" w:lineRule="exact"/>
        <w:rPr>
          <w:sz w:val="20"/>
          <w:szCs w:val="20"/>
        </w:rPr>
      </w:pPr>
    </w:p>
    <w:p w:rsidR="00047FAE" w:rsidRDefault="00047FAE">
      <w:pPr>
        <w:spacing w:line="200" w:lineRule="exact"/>
        <w:rPr>
          <w:sz w:val="20"/>
          <w:szCs w:val="20"/>
        </w:rPr>
      </w:pPr>
    </w:p>
    <w:p w:rsidR="00047FAE" w:rsidRDefault="00047FAE">
      <w:pPr>
        <w:spacing w:line="200" w:lineRule="exact"/>
        <w:rPr>
          <w:sz w:val="20"/>
          <w:szCs w:val="20"/>
        </w:rPr>
      </w:pPr>
    </w:p>
    <w:p w:rsidR="00047FAE" w:rsidRDefault="00047FAE">
      <w:pPr>
        <w:spacing w:line="200" w:lineRule="exact"/>
        <w:rPr>
          <w:sz w:val="20"/>
          <w:szCs w:val="20"/>
        </w:rPr>
      </w:pPr>
    </w:p>
    <w:p w:rsidR="00047FAE" w:rsidRDefault="00047FAE">
      <w:pPr>
        <w:spacing w:line="200" w:lineRule="exact"/>
        <w:rPr>
          <w:sz w:val="20"/>
          <w:szCs w:val="20"/>
        </w:rPr>
      </w:pPr>
    </w:p>
    <w:p w:rsidR="00047FAE" w:rsidRDefault="007309FF">
      <w:pPr>
        <w:ind w:left="380"/>
        <w:jc w:val="center"/>
        <w:rPr>
          <w:rFonts w:ascii="Arial" w:eastAsia="Arial" w:hAnsi="Arial" w:cs="Arial"/>
          <w:sz w:val="36"/>
          <w:szCs w:val="36"/>
        </w:rPr>
      </w:pPr>
      <w:r w:rsidRPr="007309FF">
        <w:rPr>
          <w:rFonts w:ascii="Arial" w:eastAsia="Arial" w:hAnsi="Arial" w:cs="Arial"/>
          <w:b/>
          <w:bCs/>
          <w:spacing w:val="5"/>
          <w:sz w:val="36"/>
          <w:szCs w:val="36"/>
        </w:rPr>
        <w:t xml:space="preserve">AUTOMNE </w:t>
      </w:r>
      <w:r w:rsidRPr="007309FF">
        <w:rPr>
          <w:rFonts w:ascii="Arial" w:eastAsia="Arial" w:hAnsi="Arial" w:cs="Arial"/>
          <w:b/>
          <w:bCs/>
          <w:spacing w:val="-2"/>
          <w:sz w:val="36"/>
          <w:szCs w:val="36"/>
        </w:rPr>
        <w:t>20</w:t>
      </w:r>
      <w:r w:rsidRPr="007309FF">
        <w:rPr>
          <w:rFonts w:ascii="Arial" w:eastAsia="Arial" w:hAnsi="Arial" w:cs="Arial"/>
          <w:b/>
          <w:bCs/>
          <w:spacing w:val="1"/>
          <w:sz w:val="36"/>
          <w:szCs w:val="36"/>
        </w:rPr>
        <w:t>1</w:t>
      </w:r>
      <w:r w:rsidRPr="007309FF">
        <w:rPr>
          <w:rFonts w:ascii="Arial" w:eastAsia="Arial" w:hAnsi="Arial" w:cs="Arial"/>
          <w:b/>
          <w:bCs/>
          <w:sz w:val="36"/>
          <w:szCs w:val="36"/>
        </w:rPr>
        <w:t>6</w:t>
      </w:r>
    </w:p>
    <w:p w:rsidR="00047FAE" w:rsidRDefault="00047FAE">
      <w:pPr>
        <w:jc w:val="center"/>
        <w:rPr>
          <w:rFonts w:ascii="Arial" w:eastAsia="Arial" w:hAnsi="Arial" w:cs="Arial"/>
          <w:sz w:val="36"/>
          <w:szCs w:val="36"/>
        </w:rPr>
        <w:sectPr w:rsidR="00047FAE">
          <w:footerReference w:type="default" r:id="rId9"/>
          <w:type w:val="continuous"/>
          <w:pgSz w:w="12240" w:h="15840"/>
          <w:pgMar w:top="1480" w:right="1720" w:bottom="920" w:left="1340" w:header="720" w:footer="731" w:gutter="0"/>
          <w:cols w:space="720"/>
        </w:sectPr>
      </w:pPr>
    </w:p>
    <w:p w:rsidR="00047FAE" w:rsidRDefault="007309FF">
      <w:pPr>
        <w:spacing w:before="56"/>
        <w:ind w:right="197"/>
        <w:jc w:val="center"/>
        <w:rPr>
          <w:rFonts w:ascii="Arial" w:eastAsia="Arial" w:hAnsi="Arial" w:cs="Arial"/>
          <w:sz w:val="28"/>
          <w:szCs w:val="28"/>
        </w:rPr>
      </w:pPr>
      <w:r w:rsidRPr="007309FF">
        <w:rPr>
          <w:rFonts w:ascii="Arial" w:eastAsia="Arial" w:hAnsi="Arial" w:cs="Arial"/>
          <w:b/>
          <w:bCs/>
          <w:spacing w:val="-2"/>
          <w:sz w:val="28"/>
          <w:szCs w:val="28"/>
        </w:rPr>
        <w:lastRenderedPageBreak/>
        <w:t>Table des matières</w:t>
      </w:r>
    </w:p>
    <w:sdt>
      <w:sdtPr>
        <w:id w:val="620126501"/>
        <w:docPartObj>
          <w:docPartGallery w:val="Table of Contents"/>
          <w:docPartUnique/>
        </w:docPartObj>
      </w:sdtPr>
      <w:sdtEndPr>
        <w:rPr>
          <w:vanish/>
        </w:rPr>
      </w:sdtEndPr>
      <w:sdtContent>
        <w:p w:rsidR="00047FAE" w:rsidRDefault="00ED032B" w:rsidP="00ED032B">
          <w:pPr>
            <w:pStyle w:val="TOC11"/>
            <w:tabs>
              <w:tab w:val="right" w:leader="dot" w:pos="9459"/>
            </w:tabs>
            <w:spacing w:before="420"/>
            <w:rPr>
              <w:rFonts w:ascii="Times New Roman" w:eastAsia="Times New Roman" w:hAnsi="Times New Roman" w:cs="Times New Roman"/>
            </w:rPr>
          </w:pPr>
          <w:r w:rsidRPr="00ED032B">
            <w:t>Résumé de la direction</w:t>
          </w:r>
          <w:hyperlink w:anchor="_bookmark0" w:history="1">
            <w:r w:rsidR="007309FF" w:rsidRPr="00ED032B">
              <w:rPr>
                <w:rFonts w:ascii="Times New Roman" w:eastAsia="Times New Roman" w:hAnsi="Times New Roman" w:cs="Times New Roman"/>
              </w:rPr>
              <w:tab/>
              <w:t>1</w:t>
            </w:r>
          </w:hyperlink>
        </w:p>
        <w:p w:rsidR="00047FAE" w:rsidRDefault="000D4F00" w:rsidP="00ED032B">
          <w:pPr>
            <w:pStyle w:val="TOC11"/>
            <w:tabs>
              <w:tab w:val="right" w:leader="dot" w:pos="9459"/>
            </w:tabs>
            <w:spacing w:line="280" w:lineRule="exact"/>
            <w:rPr>
              <w:rFonts w:ascii="Times New Roman" w:eastAsia="Times New Roman" w:hAnsi="Times New Roman" w:cs="Times New Roman"/>
            </w:rPr>
          </w:pPr>
          <w:hyperlink w:anchor="_bookmark1" w:history="1">
            <w:r w:rsidR="00ED032B" w:rsidRPr="00ED032B">
              <w:rPr>
                <w:spacing w:val="-1"/>
              </w:rPr>
              <w:t>R</w:t>
            </w:r>
            <w:r w:rsidR="00ED032B" w:rsidRPr="00ED032B">
              <w:t>eco</w:t>
            </w:r>
            <w:r w:rsidR="00ED032B" w:rsidRPr="00ED032B">
              <w:rPr>
                <w:spacing w:val="-1"/>
              </w:rPr>
              <w:t>m</w:t>
            </w:r>
            <w:r w:rsidR="00ED032B" w:rsidRPr="00ED032B">
              <w:rPr>
                <w:spacing w:val="1"/>
              </w:rPr>
              <w:t>ma</w:t>
            </w:r>
            <w:r w:rsidR="00ED032B" w:rsidRPr="00ED032B">
              <w:t>nd</w:t>
            </w:r>
            <w:r w:rsidR="00ED032B" w:rsidRPr="00ED032B">
              <w:rPr>
                <w:spacing w:val="-2"/>
              </w:rPr>
              <w:t>a</w:t>
            </w:r>
            <w:r w:rsidR="00ED032B" w:rsidRPr="00ED032B">
              <w:t>t</w:t>
            </w:r>
            <w:r w:rsidR="00ED032B" w:rsidRPr="00ED032B">
              <w:rPr>
                <w:spacing w:val="-1"/>
              </w:rPr>
              <w:t>i</w:t>
            </w:r>
            <w:r w:rsidR="00ED032B" w:rsidRPr="00ED032B">
              <w:t>ons</w:t>
            </w:r>
            <w:r w:rsidR="00ED032B" w:rsidRPr="00ED032B">
              <w:rPr>
                <w:rFonts w:ascii="Times New Roman" w:eastAsia="Times New Roman" w:hAnsi="Times New Roman" w:cs="Times New Roman"/>
              </w:rPr>
              <w:tab/>
              <w:t>2</w:t>
            </w:r>
          </w:hyperlink>
        </w:p>
        <w:p w:rsidR="00047FAE" w:rsidRDefault="000D4F00" w:rsidP="00ED032B">
          <w:pPr>
            <w:pStyle w:val="TOC11"/>
            <w:tabs>
              <w:tab w:val="right" w:leader="dot" w:pos="9459"/>
            </w:tabs>
            <w:spacing w:line="280" w:lineRule="exact"/>
            <w:rPr>
              <w:rFonts w:ascii="Times New Roman" w:eastAsia="Times New Roman" w:hAnsi="Times New Roman" w:cs="Times New Roman"/>
            </w:rPr>
          </w:pPr>
          <w:hyperlink w:anchor="_bookmark2" w:history="1">
            <w:r w:rsidR="00ED032B" w:rsidRPr="00ED032B">
              <w:t>Conseil consultatif en matière de droit des affaires de l’Ontario</w:t>
            </w:r>
            <w:r w:rsidR="00ED032B" w:rsidRPr="00ED032B">
              <w:rPr>
                <w:rFonts w:ascii="Times New Roman" w:eastAsia="Times New Roman" w:hAnsi="Times New Roman" w:cs="Times New Roman"/>
              </w:rPr>
              <w:tab/>
              <w:t>5</w:t>
            </w:r>
          </w:hyperlink>
        </w:p>
        <w:p w:rsidR="00047FAE" w:rsidRDefault="00ED032B" w:rsidP="00ED032B">
          <w:pPr>
            <w:pStyle w:val="TOC21"/>
            <w:numPr>
              <w:ilvl w:val="0"/>
              <w:numId w:val="29"/>
            </w:numPr>
            <w:tabs>
              <w:tab w:val="left" w:pos="820"/>
              <w:tab w:val="right" w:leader="dot" w:pos="9458"/>
            </w:tabs>
            <w:spacing w:before="152"/>
          </w:pPr>
          <w:r w:rsidRPr="00ED032B">
            <w:t>Renseignements généraux</w:t>
          </w:r>
          <w:hyperlink w:anchor="_bookmark3" w:history="1">
            <w:r w:rsidRPr="00ED032B">
              <w:t xml:space="preserve"> </w:t>
            </w:r>
            <w:r w:rsidRPr="00ED032B">
              <w:tab/>
              <w:t>5</w:t>
            </w:r>
          </w:hyperlink>
        </w:p>
        <w:p w:rsidR="00047FAE" w:rsidRDefault="00ED032B" w:rsidP="00ED032B">
          <w:pPr>
            <w:pStyle w:val="TOC21"/>
            <w:numPr>
              <w:ilvl w:val="0"/>
              <w:numId w:val="29"/>
            </w:numPr>
            <w:tabs>
              <w:tab w:val="left" w:pos="820"/>
              <w:tab w:val="right" w:leader="dot" w:pos="9458"/>
            </w:tabs>
          </w:pPr>
          <w:r w:rsidRPr="00ED032B">
            <w:t xml:space="preserve">Travail réalisé par le Conseil jusqu’à </w:t>
          </w:r>
          <w:hyperlink w:anchor="_bookmark4" w:history="1">
            <w:r w:rsidRPr="00ED032B">
              <w:rPr>
                <w:spacing w:val="6"/>
              </w:rPr>
              <w:t>maintenant</w:t>
            </w:r>
            <w:r w:rsidRPr="00ED032B">
              <w:t xml:space="preserve"> </w:t>
            </w:r>
            <w:r w:rsidRPr="00ED032B">
              <w:tab/>
              <w:t>5</w:t>
            </w:r>
          </w:hyperlink>
        </w:p>
        <w:p w:rsidR="00047FAE" w:rsidRDefault="00ED032B">
          <w:pPr>
            <w:pStyle w:val="TOC11"/>
            <w:tabs>
              <w:tab w:val="right" w:leader="dot" w:pos="9459"/>
            </w:tabs>
            <w:spacing w:before="149"/>
            <w:rPr>
              <w:rFonts w:ascii="Times New Roman" w:eastAsia="Times New Roman" w:hAnsi="Times New Roman" w:cs="Times New Roman"/>
            </w:rPr>
          </w:pPr>
          <w:r w:rsidRPr="00ED032B">
            <w:t xml:space="preserve">Recommandations – Automne </w:t>
          </w:r>
          <w:hyperlink w:anchor="_bookmark5" w:history="1">
            <w:r w:rsidRPr="00ED032B">
              <w:t>20</w:t>
            </w:r>
            <w:r w:rsidRPr="00ED032B">
              <w:rPr>
                <w:spacing w:val="-2"/>
              </w:rPr>
              <w:t>1</w:t>
            </w:r>
            <w:r w:rsidRPr="00ED032B">
              <w:t>6</w:t>
            </w:r>
            <w:r w:rsidRPr="00ED032B">
              <w:rPr>
                <w:spacing w:val="1"/>
              </w:rPr>
              <w:t xml:space="preserve"> </w:t>
            </w:r>
            <w:r w:rsidRPr="00ED032B">
              <w:rPr>
                <w:rFonts w:ascii="Times New Roman" w:eastAsia="Times New Roman" w:hAnsi="Times New Roman" w:cs="Times New Roman"/>
              </w:rPr>
              <w:tab/>
              <w:t>6</w:t>
            </w:r>
          </w:hyperlink>
        </w:p>
        <w:p w:rsidR="003C6A82" w:rsidRDefault="000D4F00" w:rsidP="003C6A82">
          <w:pPr>
            <w:pStyle w:val="TOC11"/>
            <w:tabs>
              <w:tab w:val="right" w:leader="dot" w:pos="9459"/>
            </w:tabs>
            <w:spacing w:line="280" w:lineRule="exact"/>
          </w:pPr>
        </w:p>
      </w:sdtContent>
    </w:sdt>
    <w:p w:rsidR="00ED032B" w:rsidRPr="003C6A82" w:rsidRDefault="003C6A82" w:rsidP="003C6A82">
      <w:pPr>
        <w:pStyle w:val="TOC11"/>
        <w:tabs>
          <w:tab w:val="right" w:leader="dot" w:pos="9459"/>
        </w:tabs>
        <w:spacing w:line="280" w:lineRule="exact"/>
        <w:rPr>
          <w:bCs/>
          <w:vanish/>
        </w:rPr>
      </w:pPr>
      <w:r w:rsidRPr="003C6A82">
        <w:rPr>
          <w:bCs/>
          <w:vanish/>
        </w:rPr>
        <w:t xml:space="preserve">Projet de loi </w:t>
      </w:r>
      <w:hyperlink w:anchor="_bookmark7" w:history="1">
        <w:r w:rsidR="00ED032B" w:rsidRPr="003C6A82">
          <w:t xml:space="preserve">27, </w:t>
        </w:r>
        <w:r w:rsidRPr="00B1261E">
          <w:rPr>
            <w:i/>
            <w:spacing w:val="-2"/>
          </w:rPr>
          <w:t>Loi de 2016 sur l’allègement du fardeau réglementaire</w:t>
        </w:r>
        <w:r w:rsidR="00ED032B" w:rsidRPr="003C6A82">
          <w:rPr>
            <w:rFonts w:ascii="Times New Roman" w:eastAsia="Times New Roman" w:hAnsi="Times New Roman" w:cs="Times New Roman"/>
          </w:rPr>
          <w:t xml:space="preserve"> </w:t>
        </w:r>
        <w:r w:rsidR="00ED032B" w:rsidRPr="003C6A82">
          <w:rPr>
            <w:rFonts w:ascii="Times New Roman" w:eastAsia="Times New Roman" w:hAnsi="Times New Roman" w:cs="Times New Roman"/>
          </w:rPr>
          <w:tab/>
          <w:t>23</w:t>
        </w:r>
      </w:hyperlink>
    </w:p>
    <w:p w:rsidR="00ED032B" w:rsidRPr="00ED032B" w:rsidRDefault="00ED032B" w:rsidP="003C6A82">
      <w:pPr>
        <w:pStyle w:val="TOC11"/>
        <w:tabs>
          <w:tab w:val="right" w:leader="dot" w:pos="9459"/>
        </w:tabs>
        <w:spacing w:line="280" w:lineRule="exact"/>
        <w:rPr>
          <w:rStyle w:val="tw4winMark"/>
        </w:rPr>
      </w:pPr>
    </w:p>
    <w:p w:rsidR="00ED032B" w:rsidRPr="00ED032B" w:rsidRDefault="00ED032B" w:rsidP="00ED032B">
      <w:pPr>
        <w:pStyle w:val="TOC11"/>
        <w:tabs>
          <w:tab w:val="right" w:leader="dot" w:pos="9459"/>
        </w:tabs>
        <w:spacing w:line="240" w:lineRule="exact"/>
        <w:rPr>
          <w:rStyle w:val="tw4winMark"/>
        </w:rPr>
      </w:pPr>
    </w:p>
    <w:p w:rsidR="00047FAE" w:rsidRDefault="00047FAE" w:rsidP="00ED032B">
      <w:pPr>
        <w:pStyle w:val="TOC11"/>
        <w:tabs>
          <w:tab w:val="right" w:leader="dot" w:pos="9459"/>
        </w:tabs>
        <w:spacing w:line="240" w:lineRule="exact"/>
        <w:rPr>
          <w:rFonts w:ascii="Times New Roman" w:eastAsia="Times New Roman" w:hAnsi="Times New Roman" w:cs="Times New Roman"/>
        </w:rPr>
      </w:pPr>
    </w:p>
    <w:p w:rsidR="00047FAE" w:rsidRDefault="003C6A82" w:rsidP="003C6A82">
      <w:pPr>
        <w:pStyle w:val="BodyText"/>
        <w:spacing w:before="280"/>
        <w:ind w:left="100" w:right="5581"/>
      </w:pPr>
      <w:r w:rsidRPr="003C6A82">
        <w:t>Annexe</w:t>
      </w:r>
      <w:hyperlink w:anchor="_bookmark8" w:history="1">
        <w:r w:rsidRPr="003C6A82">
          <w:rPr>
            <w:spacing w:val="1"/>
          </w:rPr>
          <w:t xml:space="preserve"> </w:t>
        </w:r>
        <w:r w:rsidRPr="003C6A82">
          <w:t>A</w:t>
        </w:r>
        <w:r w:rsidRPr="003C6A82">
          <w:rPr>
            <w:spacing w:val="65"/>
          </w:rPr>
          <w:t xml:space="preserve"> </w:t>
        </w:r>
        <w:r w:rsidRPr="003C6A82">
          <w:rPr>
            <w:spacing w:val="-1"/>
          </w:rPr>
          <w:t>M</w:t>
        </w:r>
        <w:r w:rsidRPr="003C6A82">
          <w:rPr>
            <w:spacing w:val="-2"/>
          </w:rPr>
          <w:t>e</w:t>
        </w:r>
        <w:r w:rsidRPr="003C6A82">
          <w:rPr>
            <w:spacing w:val="1"/>
          </w:rPr>
          <w:t>m</w:t>
        </w:r>
        <w:r w:rsidRPr="003C6A82">
          <w:t>bres du Conseil</w:t>
        </w:r>
      </w:hyperlink>
      <w:r w:rsidRPr="003C6A82">
        <w:t xml:space="preserve"> </w:t>
      </w:r>
      <w:hyperlink w:anchor="_bookmark9" w:history="1">
        <w:r w:rsidRPr="003C6A82">
          <w:t>Annexe</w:t>
        </w:r>
        <w:r w:rsidRPr="003C6A82">
          <w:rPr>
            <w:spacing w:val="1"/>
          </w:rPr>
          <w:t xml:space="preserve"> </w:t>
        </w:r>
        <w:r w:rsidRPr="003C6A82">
          <w:t>B</w:t>
        </w:r>
        <w:r w:rsidRPr="003C6A82">
          <w:rPr>
            <w:spacing w:val="62"/>
          </w:rPr>
          <w:t xml:space="preserve"> </w:t>
        </w:r>
        <w:r w:rsidRPr="003C6A82">
          <w:rPr>
            <w:spacing w:val="2"/>
          </w:rPr>
          <w:t>Cadre de référenc</w:t>
        </w:r>
        <w:r w:rsidRPr="003C6A82">
          <w:t>e</w:t>
        </w:r>
      </w:hyperlink>
      <w:r w:rsidRPr="003C6A82">
        <w:t xml:space="preserve"> </w:t>
      </w:r>
      <w:hyperlink w:anchor="_bookmark10" w:history="1">
        <w:r w:rsidRPr="003C6A82">
          <w:t>Annexe C</w:t>
        </w:r>
        <w:r w:rsidRPr="003C6A82">
          <w:rPr>
            <w:spacing w:val="64"/>
          </w:rPr>
          <w:t xml:space="preserve"> </w:t>
        </w:r>
        <w:r w:rsidR="0048105B">
          <w:t>Lois</w:t>
        </w:r>
      </w:hyperlink>
    </w:p>
    <w:p w:rsidR="00047FAE" w:rsidRDefault="003C6A82" w:rsidP="00D172C3">
      <w:pPr>
        <w:pStyle w:val="BodyText"/>
        <w:ind w:left="100" w:right="4193"/>
      </w:pPr>
      <w:r w:rsidRPr="003C6A82">
        <w:t>Annexe</w:t>
      </w:r>
      <w:hyperlink w:anchor="_bookmark11" w:history="1">
        <w:r w:rsidRPr="003C6A82">
          <w:rPr>
            <w:spacing w:val="1"/>
          </w:rPr>
          <w:t xml:space="preserve"> </w:t>
        </w:r>
        <w:r w:rsidRPr="003C6A82">
          <w:t>D</w:t>
        </w:r>
        <w:r w:rsidRPr="003C6A82">
          <w:rPr>
            <w:spacing w:val="59"/>
          </w:rPr>
          <w:t xml:space="preserve"> </w:t>
        </w:r>
        <w:r w:rsidRPr="003C6A82">
          <w:rPr>
            <w:spacing w:val="8"/>
          </w:rPr>
          <w:t>Groupes de travail du Consei</w:t>
        </w:r>
        <w:r w:rsidRPr="003C6A82">
          <w:t>l</w:t>
        </w:r>
      </w:hyperlink>
      <w:r w:rsidRPr="003C6A82">
        <w:t xml:space="preserve"> </w:t>
      </w:r>
      <w:r w:rsidRPr="003C6A82">
        <w:br/>
        <w:t>Annexe</w:t>
      </w:r>
      <w:hyperlink w:anchor="_bookmark12" w:history="1">
        <w:r w:rsidRPr="003C6A82">
          <w:rPr>
            <w:spacing w:val="1"/>
          </w:rPr>
          <w:t xml:space="preserve"> </w:t>
        </w:r>
        <w:r w:rsidRPr="003C6A82">
          <w:t>E</w:t>
        </w:r>
        <w:r w:rsidRPr="003C6A82">
          <w:rPr>
            <w:spacing w:val="65"/>
          </w:rPr>
          <w:t xml:space="preserve"> </w:t>
        </w:r>
        <w:r w:rsidRPr="003C6A82">
          <w:t>O</w:t>
        </w:r>
        <w:r w:rsidRPr="003C6A82">
          <w:rPr>
            <w:spacing w:val="-1"/>
          </w:rPr>
          <w:t>r</w:t>
        </w:r>
        <w:r w:rsidRPr="003C6A82">
          <w:rPr>
            <w:spacing w:val="-2"/>
          </w:rPr>
          <w:t>g</w:t>
        </w:r>
        <w:r w:rsidRPr="003C6A82">
          <w:t>an</w:t>
        </w:r>
        <w:r w:rsidRPr="003C6A82">
          <w:rPr>
            <w:spacing w:val="-1"/>
          </w:rPr>
          <w:t>is</w:t>
        </w:r>
        <w:r w:rsidR="0048105B">
          <w:rPr>
            <w:spacing w:val="-1"/>
          </w:rPr>
          <w:t>ations</w:t>
        </w:r>
        <w:r w:rsidRPr="003C6A82">
          <w:rPr>
            <w:spacing w:val="-1"/>
          </w:rPr>
          <w:t xml:space="preserve"> consulté</w:t>
        </w:r>
        <w:r w:rsidR="0048105B">
          <w:rPr>
            <w:spacing w:val="-1"/>
          </w:rPr>
          <w:t>e</w:t>
        </w:r>
        <w:r w:rsidRPr="003C6A82">
          <w:rPr>
            <w:spacing w:val="-1"/>
          </w:rPr>
          <w:t>s</w:t>
        </w:r>
      </w:hyperlink>
      <w:r w:rsidRPr="003C6A82">
        <w:t xml:space="preserve"> </w:t>
      </w:r>
    </w:p>
    <w:p w:rsidR="00047FAE" w:rsidRDefault="00047FAE">
      <w:pPr>
        <w:sectPr w:rsidR="00047FAE">
          <w:pgSz w:w="12240" w:h="15840"/>
          <w:pgMar w:top="1380" w:right="1320" w:bottom="920" w:left="1340" w:header="0" w:footer="731" w:gutter="0"/>
          <w:cols w:space="720"/>
        </w:sectPr>
      </w:pPr>
    </w:p>
    <w:p w:rsidR="00047FAE" w:rsidRDefault="003C6A82">
      <w:pPr>
        <w:spacing w:before="49"/>
        <w:ind w:left="1560"/>
        <w:rPr>
          <w:rFonts w:ascii="Arial" w:eastAsia="Arial" w:hAnsi="Arial" w:cs="Arial"/>
          <w:sz w:val="36"/>
          <w:szCs w:val="36"/>
        </w:rPr>
      </w:pPr>
      <w:r w:rsidRPr="00F97D90">
        <w:rPr>
          <w:rFonts w:ascii="Arial" w:eastAsia="Arial" w:hAnsi="Arial" w:cs="Arial"/>
          <w:b/>
          <w:bCs/>
          <w:spacing w:val="-1"/>
          <w:sz w:val="36"/>
          <w:szCs w:val="36"/>
        </w:rPr>
        <w:lastRenderedPageBreak/>
        <w:t>CONSEIL CONSULTATIF EN MATIÈRE DE DROIT DES AFFAIRES DE L’ONTARIO</w:t>
      </w:r>
    </w:p>
    <w:p w:rsidR="00047FAE" w:rsidRDefault="00047FAE">
      <w:pPr>
        <w:spacing w:line="240" w:lineRule="exact"/>
        <w:rPr>
          <w:sz w:val="24"/>
          <w:szCs w:val="24"/>
        </w:rPr>
      </w:pPr>
    </w:p>
    <w:p w:rsidR="00047FAE" w:rsidRDefault="003C6A82" w:rsidP="00D172C3">
      <w:pPr>
        <w:pStyle w:val="Heading11"/>
        <w:ind w:right="3930"/>
        <w:jc w:val="both"/>
        <w:rPr>
          <w:b w:val="0"/>
          <w:bCs w:val="0"/>
        </w:rPr>
      </w:pPr>
      <w:bookmarkStart w:id="1" w:name="Executive_Summary"/>
      <w:bookmarkStart w:id="2" w:name="_bookmark0"/>
      <w:bookmarkEnd w:id="1"/>
      <w:bookmarkEnd w:id="2"/>
      <w:r w:rsidRPr="00F97D90">
        <w:t>Résumé de la direction</w:t>
      </w:r>
    </w:p>
    <w:p w:rsidR="00047FAE" w:rsidRDefault="00047FAE">
      <w:pPr>
        <w:spacing w:before="2" w:line="240" w:lineRule="exact"/>
        <w:rPr>
          <w:sz w:val="24"/>
          <w:szCs w:val="24"/>
        </w:rPr>
      </w:pPr>
    </w:p>
    <w:p w:rsidR="00047FAE" w:rsidRDefault="00281F43">
      <w:pPr>
        <w:pStyle w:val="BodyText"/>
        <w:ind w:right="117"/>
        <w:jc w:val="both"/>
      </w:pPr>
      <w:r w:rsidRPr="00F97D90">
        <w:rPr>
          <w:spacing w:val="2"/>
        </w:rPr>
        <w:t xml:space="preserve">Le </w:t>
      </w:r>
      <w:r w:rsidR="00666E5C" w:rsidRPr="00F97D90">
        <w:rPr>
          <w:spacing w:val="2"/>
        </w:rPr>
        <w:t>gouvernement de l’</w:t>
      </w:r>
      <w:r w:rsidR="00666E5C" w:rsidRPr="00F97D90">
        <w:t>On</w:t>
      </w:r>
      <w:r w:rsidR="00666E5C" w:rsidRPr="00F97D90">
        <w:rPr>
          <w:spacing w:val="-2"/>
        </w:rPr>
        <w:t>t</w:t>
      </w:r>
      <w:r w:rsidR="00666E5C" w:rsidRPr="00F97D90">
        <w:t>a</w:t>
      </w:r>
      <w:r w:rsidR="00666E5C" w:rsidRPr="00F97D90">
        <w:rPr>
          <w:spacing w:val="-1"/>
        </w:rPr>
        <w:t>ri</w:t>
      </w:r>
      <w:r w:rsidR="00666E5C" w:rsidRPr="00F97D90">
        <w:t xml:space="preserve">o a formé le </w:t>
      </w:r>
      <w:r w:rsidRPr="00F97D90">
        <w:rPr>
          <w:spacing w:val="2"/>
        </w:rPr>
        <w:t xml:space="preserve">Conseil consultatif en matière de droit des affaires de l’Ontario (le Conseil) </w:t>
      </w:r>
      <w:r w:rsidRPr="00F97D90">
        <w:t xml:space="preserve">en </w:t>
      </w:r>
      <w:r w:rsidRPr="00F97D90">
        <w:rPr>
          <w:spacing w:val="-2"/>
        </w:rPr>
        <w:t>2</w:t>
      </w:r>
      <w:r w:rsidRPr="00F97D90">
        <w:t>016 dans le but d</w:t>
      </w:r>
      <w:r w:rsidR="009A3BF9" w:rsidRPr="00F97D90">
        <w:t>’actualiser l</w:t>
      </w:r>
      <w:r w:rsidRPr="00F97D90">
        <w:t xml:space="preserve">es lois </w:t>
      </w:r>
      <w:r w:rsidR="00B91180" w:rsidRPr="00F97D90">
        <w:t xml:space="preserve">de l’Ontario </w:t>
      </w:r>
      <w:r w:rsidR="009A3BF9" w:rsidRPr="00F97D90">
        <w:t>portant sur les sociétés et le commerce et de donner des conseils au gouvernement quant aux priorités de réforme de ces lois.</w:t>
      </w:r>
      <w:r w:rsidR="007309FF">
        <w:rPr>
          <w:spacing w:val="29"/>
        </w:rPr>
        <w:t xml:space="preserve"> </w:t>
      </w:r>
      <w:r w:rsidR="00666E5C" w:rsidRPr="00F97D90">
        <w:t xml:space="preserve">C’est avec plaisir que </w:t>
      </w:r>
      <w:r w:rsidR="009A3BF9" w:rsidRPr="00F97D90">
        <w:t>le Conseil remet son premier rapport à la ministre des Services gouvernementaux et des Services aux consommateurs</w:t>
      </w:r>
      <w:r w:rsidR="00265922">
        <w:t xml:space="preserve"> (SGSC)</w:t>
      </w:r>
      <w:r w:rsidR="00666E5C" w:rsidRPr="00F97D90">
        <w:t>, après six mois d’existence</w:t>
      </w:r>
      <w:r w:rsidR="009A3BF9" w:rsidRPr="00F97D90">
        <w:t xml:space="preserve">. </w:t>
      </w:r>
    </w:p>
    <w:p w:rsidR="00047FAE" w:rsidRDefault="00047FAE">
      <w:pPr>
        <w:spacing w:line="240" w:lineRule="exact"/>
        <w:rPr>
          <w:sz w:val="24"/>
          <w:szCs w:val="24"/>
        </w:rPr>
      </w:pPr>
    </w:p>
    <w:p w:rsidR="00047FAE" w:rsidRDefault="009A3BF9">
      <w:pPr>
        <w:pStyle w:val="BodyText"/>
        <w:ind w:right="117"/>
        <w:jc w:val="both"/>
      </w:pPr>
      <w:r w:rsidRPr="00F97D90">
        <w:rPr>
          <w:spacing w:val="2"/>
        </w:rPr>
        <w:t xml:space="preserve">Le Conseil recommande d'apporter des modifications à la </w:t>
      </w:r>
      <w:r w:rsidRPr="00F97D90">
        <w:rPr>
          <w:i/>
          <w:spacing w:val="2"/>
        </w:rPr>
        <w:t>Loi sur les sociétés par actions</w:t>
      </w:r>
      <w:r w:rsidRPr="00F97D90">
        <w:rPr>
          <w:spacing w:val="2"/>
        </w:rPr>
        <w:t xml:space="preserve"> de l’Ontario </w:t>
      </w:r>
      <w:r w:rsidR="004D3A8C" w:rsidRPr="00F97D90">
        <w:rPr>
          <w:spacing w:val="2"/>
        </w:rPr>
        <w:t>(la LSAO) afin d’inciter les investisseurs à opter pour l’</w:t>
      </w:r>
      <w:r w:rsidR="004D3A8C" w:rsidRPr="00F97D90">
        <w:rPr>
          <w:spacing w:val="-2"/>
        </w:rPr>
        <w:t>O</w:t>
      </w:r>
      <w:r w:rsidR="004D3A8C" w:rsidRPr="00F97D90">
        <w:t>nta</w:t>
      </w:r>
      <w:r w:rsidR="004D3A8C" w:rsidRPr="00F97D90">
        <w:rPr>
          <w:spacing w:val="-1"/>
        </w:rPr>
        <w:t>ri</w:t>
      </w:r>
      <w:r w:rsidR="004D3A8C" w:rsidRPr="00F97D90">
        <w:t>o comme lieu de constitution en société.</w:t>
      </w:r>
      <w:r w:rsidR="007309FF">
        <w:rPr>
          <w:spacing w:val="27"/>
        </w:rPr>
        <w:t xml:space="preserve"> </w:t>
      </w:r>
      <w:r w:rsidR="00022CC3" w:rsidRPr="00F97D90">
        <w:t xml:space="preserve">Plus précisément, nous recommandons l’élimination de l’exigence </w:t>
      </w:r>
      <w:r w:rsidR="00F82C14" w:rsidRPr="00F97D90">
        <w:t xml:space="preserve">voulant que </w:t>
      </w:r>
      <w:r w:rsidR="00022CC3" w:rsidRPr="00F97D90">
        <w:t>25 pour cent de</w:t>
      </w:r>
      <w:r w:rsidR="00F97D90" w:rsidRPr="00F97D90">
        <w:t>s membres</w:t>
      </w:r>
      <w:r w:rsidR="00F82C14" w:rsidRPr="00F97D90">
        <w:t xml:space="preserve"> du conseil d'administration </w:t>
      </w:r>
      <w:r w:rsidR="00022CC3" w:rsidRPr="00F97D90">
        <w:t xml:space="preserve">de sociétés ontariennes </w:t>
      </w:r>
      <w:r w:rsidR="00F82C14" w:rsidRPr="00F97D90">
        <w:t>s</w:t>
      </w:r>
      <w:r w:rsidR="00022CC3" w:rsidRPr="00F97D90">
        <w:t>o</w:t>
      </w:r>
      <w:r w:rsidR="00F82C14" w:rsidRPr="00F97D90">
        <w:t>i</w:t>
      </w:r>
      <w:r w:rsidR="00022CC3" w:rsidRPr="00F97D90">
        <w:t xml:space="preserve">ent résidents canadiens, à l’instar d’autres </w:t>
      </w:r>
      <w:r w:rsidR="003C0726" w:rsidRPr="00F97D90">
        <w:t>ressort</w:t>
      </w:r>
      <w:r w:rsidR="00022CC3" w:rsidRPr="00F97D90">
        <w:t xml:space="preserve">s </w:t>
      </w:r>
      <w:r w:rsidR="00F82C14" w:rsidRPr="00F97D90">
        <w:t>a</w:t>
      </w:r>
      <w:r w:rsidR="00022CC3" w:rsidRPr="00F97D90">
        <w:t xml:space="preserve">u </w:t>
      </w:r>
      <w:r w:rsidR="00022CC3" w:rsidRPr="00F97D90">
        <w:rPr>
          <w:spacing w:val="-1"/>
        </w:rPr>
        <w:t>C</w:t>
      </w:r>
      <w:r w:rsidR="00022CC3" w:rsidRPr="00F97D90">
        <w:t>ana</w:t>
      </w:r>
      <w:r w:rsidR="00022CC3" w:rsidRPr="00F97D90">
        <w:rPr>
          <w:spacing w:val="-2"/>
        </w:rPr>
        <w:t>d</w:t>
      </w:r>
      <w:r w:rsidR="00022CC3" w:rsidRPr="00F97D90">
        <w:t>a.</w:t>
      </w:r>
      <w:r w:rsidR="007309FF">
        <w:rPr>
          <w:spacing w:val="13"/>
        </w:rPr>
        <w:t xml:space="preserve"> </w:t>
      </w:r>
      <w:r w:rsidR="00022CC3" w:rsidRPr="00512196">
        <w:t>Selon nous, cette exige</w:t>
      </w:r>
      <w:r w:rsidR="00234B8A" w:rsidRPr="00512196">
        <w:t>nce</w:t>
      </w:r>
      <w:r w:rsidR="00022CC3" w:rsidRPr="00512196">
        <w:t xml:space="preserve"> constitue un obstacle pour les entreprises voulant se constituer en société en Ontario.</w:t>
      </w:r>
    </w:p>
    <w:p w:rsidR="00047FAE" w:rsidRDefault="00047FAE">
      <w:pPr>
        <w:spacing w:line="240" w:lineRule="exact"/>
        <w:rPr>
          <w:sz w:val="24"/>
          <w:szCs w:val="24"/>
        </w:rPr>
      </w:pPr>
    </w:p>
    <w:p w:rsidR="00047FAE" w:rsidRDefault="00022CC3">
      <w:pPr>
        <w:pStyle w:val="BodyText"/>
        <w:ind w:right="115"/>
        <w:jc w:val="both"/>
      </w:pPr>
      <w:r w:rsidRPr="00F34A80">
        <w:rPr>
          <w:spacing w:val="2"/>
        </w:rPr>
        <w:t xml:space="preserve">Deux de nos </w:t>
      </w:r>
      <w:r w:rsidRPr="00F34A80">
        <w:rPr>
          <w:spacing w:val="-1"/>
        </w:rPr>
        <w:t>r</w:t>
      </w:r>
      <w:r w:rsidRPr="00F34A80">
        <w:t>e</w:t>
      </w:r>
      <w:r w:rsidRPr="00F34A80">
        <w:rPr>
          <w:spacing w:val="-3"/>
        </w:rPr>
        <w:t>c</w:t>
      </w:r>
      <w:r w:rsidRPr="00F34A80">
        <w:t>o</w:t>
      </w:r>
      <w:r w:rsidRPr="00F34A80">
        <w:rPr>
          <w:spacing w:val="-1"/>
        </w:rPr>
        <w:t>mma</w:t>
      </w:r>
      <w:r w:rsidRPr="00F34A80">
        <w:rPr>
          <w:spacing w:val="-2"/>
        </w:rPr>
        <w:t>n</w:t>
      </w:r>
      <w:r w:rsidRPr="00F34A80">
        <w:t>dat</w:t>
      </w:r>
      <w:r w:rsidRPr="00F34A80">
        <w:rPr>
          <w:spacing w:val="-1"/>
        </w:rPr>
        <w:t>i</w:t>
      </w:r>
      <w:r w:rsidRPr="00F34A80">
        <w:rPr>
          <w:spacing w:val="-2"/>
        </w:rPr>
        <w:t>o</w:t>
      </w:r>
      <w:r w:rsidRPr="00F34A80">
        <w:t xml:space="preserve">ns en ce qui a trait aux modifications à apporter à la LSAO auraient pour effet de </w:t>
      </w:r>
      <w:r w:rsidR="00512196" w:rsidRPr="00F34A80">
        <w:t>favoriser la démocratie chez les actionnaires</w:t>
      </w:r>
      <w:r w:rsidRPr="00F34A80">
        <w:t xml:space="preserve"> en conférant de la souplesse à certaines des dispositions régissant </w:t>
      </w:r>
      <w:r w:rsidR="00B55A9F" w:rsidRPr="00F34A80">
        <w:t>les propositions</w:t>
      </w:r>
      <w:r w:rsidR="006F18D8" w:rsidRPr="00F34A80">
        <w:t xml:space="preserve"> des</w:t>
      </w:r>
      <w:r w:rsidR="00B55A9F" w:rsidRPr="00F34A80">
        <w:t xml:space="preserve"> actionnaires.</w:t>
      </w:r>
      <w:r w:rsidR="007309FF">
        <w:t xml:space="preserve"> </w:t>
      </w:r>
      <w:r w:rsidR="00B55A9F" w:rsidRPr="00F34A80">
        <w:rPr>
          <w:spacing w:val="-1"/>
        </w:rPr>
        <w:t xml:space="preserve">En ce moment, un actionnaire ne peut présenter une proposition qui a été faite et </w:t>
      </w:r>
      <w:r w:rsidR="00910681" w:rsidRPr="00F34A80">
        <w:rPr>
          <w:spacing w:val="-1"/>
        </w:rPr>
        <w:t>rejetée au cours de l’année précédente.</w:t>
      </w:r>
      <w:r w:rsidR="007309FF">
        <w:rPr>
          <w:spacing w:val="32"/>
        </w:rPr>
        <w:t xml:space="preserve"> </w:t>
      </w:r>
      <w:r w:rsidR="00910681" w:rsidRPr="00F34A80">
        <w:t>Nous recommandons qu’un actionnaire ait le droit de présenter la même proposition si celle-ci a reçu un degré de soutien</w:t>
      </w:r>
      <w:r w:rsidR="00EA16BD" w:rsidRPr="00F34A80">
        <w:t xml:space="preserve"> prescrit</w:t>
      </w:r>
      <w:r w:rsidR="00A04950">
        <w:t xml:space="preserve"> </w:t>
      </w:r>
      <w:r w:rsidR="00EA16BD" w:rsidRPr="00F34A80">
        <w:t>à sa première année ou un degré de soutien prescrit accru au cours des années su</w:t>
      </w:r>
      <w:r w:rsidR="00F34A80">
        <w:t>ivantes</w:t>
      </w:r>
      <w:r w:rsidR="00EA16BD" w:rsidRPr="00F34A80">
        <w:t>.</w:t>
      </w:r>
      <w:r w:rsidR="007309FF">
        <w:rPr>
          <w:spacing w:val="8"/>
        </w:rPr>
        <w:t xml:space="preserve"> </w:t>
      </w:r>
      <w:r w:rsidR="001B5328" w:rsidRPr="00265922">
        <w:t xml:space="preserve">Nous recommandons également que les </w:t>
      </w:r>
      <w:r w:rsidR="00747161" w:rsidRPr="00265922">
        <w:t xml:space="preserve">règlements administratifs des sociétés ne faisant pas appel au public </w:t>
      </w:r>
      <w:r w:rsidR="00265922" w:rsidRPr="00265922">
        <w:t>mentionnent</w:t>
      </w:r>
      <w:r w:rsidR="00747161" w:rsidRPr="00265922">
        <w:t xml:space="preserve"> que les actionnaires ont le droit de présenter des propositions </w:t>
      </w:r>
      <w:r w:rsidR="00265922" w:rsidRPr="00265922">
        <w:t>dans</w:t>
      </w:r>
      <w:r w:rsidR="00C54F1B" w:rsidRPr="00265922">
        <w:t xml:space="preserve"> </w:t>
      </w:r>
      <w:r w:rsidR="00747161" w:rsidRPr="00265922">
        <w:t>un</w:t>
      </w:r>
      <w:r w:rsidR="00C54F1B" w:rsidRPr="00265922">
        <w:t xml:space="preserve"> délai</w:t>
      </w:r>
      <w:r w:rsidR="00747161" w:rsidRPr="00265922">
        <w:t xml:space="preserve"> réduit (pas moins de dix jours avant la date d’anniversaire de la dernière </w:t>
      </w:r>
      <w:r w:rsidR="004F7AB8">
        <w:t>assemblée</w:t>
      </w:r>
      <w:r w:rsidR="00747161" w:rsidRPr="00265922">
        <w:t xml:space="preserve"> annuelle).</w:t>
      </w:r>
    </w:p>
    <w:p w:rsidR="00047FAE" w:rsidRDefault="00047FAE">
      <w:pPr>
        <w:spacing w:line="240" w:lineRule="exact"/>
        <w:rPr>
          <w:sz w:val="24"/>
          <w:szCs w:val="24"/>
        </w:rPr>
      </w:pPr>
    </w:p>
    <w:p w:rsidR="00047FAE" w:rsidRDefault="00C77DBE">
      <w:pPr>
        <w:pStyle w:val="BodyText"/>
        <w:ind w:right="117"/>
        <w:jc w:val="both"/>
      </w:pPr>
      <w:r w:rsidRPr="00265922">
        <w:t xml:space="preserve">Dans le domaine du droit commercial, le Conseil recommande la résolution </w:t>
      </w:r>
      <w:r w:rsidR="009B3D44" w:rsidRPr="00265922">
        <w:t xml:space="preserve">de l’impasse </w:t>
      </w:r>
      <w:r w:rsidR="00265922" w:rsidRPr="00265922">
        <w:t>en matière de</w:t>
      </w:r>
      <w:r w:rsidR="009B3D44" w:rsidRPr="00265922">
        <w:t xml:space="preserve"> traitement </w:t>
      </w:r>
      <w:r w:rsidR="006F3D95" w:rsidRPr="00265922">
        <w:t xml:space="preserve">des </w:t>
      </w:r>
      <w:r w:rsidR="005B1E13" w:rsidRPr="00265922">
        <w:t>garanties</w:t>
      </w:r>
      <w:r w:rsidR="005204B0" w:rsidRPr="00265922">
        <w:t xml:space="preserve"> en espèces</w:t>
      </w:r>
      <w:r w:rsidR="006F3D95" w:rsidRPr="00265922">
        <w:t xml:space="preserve"> en vertu de la </w:t>
      </w:r>
      <w:r w:rsidR="006F3D95" w:rsidRPr="00265922">
        <w:rPr>
          <w:i/>
        </w:rPr>
        <w:t xml:space="preserve">Loi sur les sécurités mobilières </w:t>
      </w:r>
      <w:r w:rsidR="006F3D95" w:rsidRPr="00265922">
        <w:t>(la LSM).</w:t>
      </w:r>
      <w:r w:rsidR="007309FF">
        <w:rPr>
          <w:spacing w:val="1"/>
        </w:rPr>
        <w:t xml:space="preserve"> </w:t>
      </w:r>
      <w:r w:rsidR="006F3D95" w:rsidRPr="00265922">
        <w:rPr>
          <w:spacing w:val="-1"/>
        </w:rPr>
        <w:t xml:space="preserve">Les modifications qui avaient d’abord été proposées par l’Association du Barreau de l’Ontario permettraient </w:t>
      </w:r>
      <w:r w:rsidR="00C54F1B" w:rsidRPr="00265922">
        <w:rPr>
          <w:spacing w:val="-1"/>
        </w:rPr>
        <w:t xml:space="preserve">aux </w:t>
      </w:r>
      <w:r w:rsidR="008931A3" w:rsidRPr="00265922">
        <w:rPr>
          <w:spacing w:val="-1"/>
        </w:rPr>
        <w:t xml:space="preserve">sûretés </w:t>
      </w:r>
      <w:r w:rsidR="00312483" w:rsidRPr="00265922">
        <w:rPr>
          <w:spacing w:val="-1"/>
        </w:rPr>
        <w:t>d</w:t>
      </w:r>
      <w:r w:rsidR="00B1513E" w:rsidRPr="00265922">
        <w:rPr>
          <w:spacing w:val="-1"/>
        </w:rPr>
        <w:t>’un</w:t>
      </w:r>
      <w:r w:rsidR="005B1E13" w:rsidRPr="00265922">
        <w:rPr>
          <w:spacing w:val="-1"/>
        </w:rPr>
        <w:t>e garantie</w:t>
      </w:r>
      <w:r w:rsidR="003C0726" w:rsidRPr="00265922">
        <w:rPr>
          <w:spacing w:val="-1"/>
        </w:rPr>
        <w:t xml:space="preserve"> </w:t>
      </w:r>
      <w:r w:rsidR="00B1513E" w:rsidRPr="00265922">
        <w:rPr>
          <w:spacing w:val="-1"/>
        </w:rPr>
        <w:t>en espèces</w:t>
      </w:r>
      <w:r w:rsidR="003C0726" w:rsidRPr="00265922">
        <w:rPr>
          <w:spacing w:val="-1"/>
        </w:rPr>
        <w:t xml:space="preserve"> </w:t>
      </w:r>
      <w:r w:rsidR="00C54F1B" w:rsidRPr="00265922">
        <w:rPr>
          <w:spacing w:val="-1"/>
        </w:rPr>
        <w:t>d’être</w:t>
      </w:r>
      <w:r w:rsidR="00BB53E6" w:rsidRPr="00265922">
        <w:rPr>
          <w:spacing w:val="-1"/>
        </w:rPr>
        <w:t xml:space="preserve"> rendues opposables par </w:t>
      </w:r>
      <w:r w:rsidR="00312483" w:rsidRPr="00265922">
        <w:rPr>
          <w:spacing w:val="-1"/>
        </w:rPr>
        <w:t>maîtrise, ce qui assurerait aux créanciers garantis la première priorité, sans enregistrements ou recherches.</w:t>
      </w:r>
      <w:r w:rsidR="007309FF">
        <w:rPr>
          <w:spacing w:val="17"/>
        </w:rPr>
        <w:t xml:space="preserve"> </w:t>
      </w:r>
      <w:r w:rsidR="008931A3" w:rsidRPr="002C0214">
        <w:rPr>
          <w:spacing w:val="-1"/>
        </w:rPr>
        <w:t xml:space="preserve">Cependant, une des modifications proposées aurait pour effet de l’emporter sur la priorité </w:t>
      </w:r>
      <w:r w:rsidR="00EC7D43" w:rsidRPr="002C0214">
        <w:rPr>
          <w:spacing w:val="-1"/>
        </w:rPr>
        <w:t>actuellement</w:t>
      </w:r>
      <w:r w:rsidR="008931A3" w:rsidRPr="002C0214">
        <w:rPr>
          <w:spacing w:val="-1"/>
        </w:rPr>
        <w:t xml:space="preserve"> accordée par la LSM aux pensionnés et aux employés </w:t>
      </w:r>
      <w:r w:rsidR="00EC7D43" w:rsidRPr="002C0214">
        <w:rPr>
          <w:spacing w:val="-1"/>
        </w:rPr>
        <w:t xml:space="preserve">dont les sûretés se trouvant dans des comptes de dépôt auraient autrement priorité de survenance sur les créanciers garantis dont les sûretés </w:t>
      </w:r>
      <w:r w:rsidR="008907B2" w:rsidRPr="002C0214">
        <w:rPr>
          <w:spacing w:val="-1"/>
        </w:rPr>
        <w:t>sont rendues opposables par maîtrise.</w:t>
      </w:r>
      <w:r w:rsidR="007309FF">
        <w:rPr>
          <w:spacing w:val="65"/>
        </w:rPr>
        <w:t xml:space="preserve"> </w:t>
      </w:r>
      <w:r w:rsidR="008907B2" w:rsidRPr="002C0214">
        <w:t xml:space="preserve">Par ailleurs, nous recommandons que la définition de « compte » soit </w:t>
      </w:r>
      <w:r w:rsidR="002C0214" w:rsidRPr="002C0214">
        <w:t xml:space="preserve">de nouveau </w:t>
      </w:r>
      <w:r w:rsidR="008907B2" w:rsidRPr="002C0214">
        <w:t xml:space="preserve">modifiée </w:t>
      </w:r>
      <w:r w:rsidR="002C0214" w:rsidRPr="002C0214">
        <w:t>afin de</w:t>
      </w:r>
      <w:r w:rsidR="008907B2" w:rsidRPr="002C0214">
        <w:t xml:space="preserve"> conserver la priorité accordée aux pension</w:t>
      </w:r>
      <w:r w:rsidR="002C0214" w:rsidRPr="002C0214">
        <w:t>né</w:t>
      </w:r>
      <w:r w:rsidR="008907B2" w:rsidRPr="002C0214">
        <w:t xml:space="preserve">s et </w:t>
      </w:r>
      <w:r w:rsidR="002C0214" w:rsidRPr="002C0214">
        <w:t xml:space="preserve">aux </w:t>
      </w:r>
      <w:r w:rsidR="008907B2" w:rsidRPr="002C0214">
        <w:t>employé</w:t>
      </w:r>
      <w:r w:rsidR="002C0214" w:rsidRPr="002C0214">
        <w:t>s</w:t>
      </w:r>
      <w:r w:rsidR="008907B2" w:rsidRPr="002C0214">
        <w:t xml:space="preserve"> </w:t>
      </w:r>
      <w:r w:rsidR="002C0214" w:rsidRPr="002C0214">
        <w:t xml:space="preserve">pour tous </w:t>
      </w:r>
      <w:r w:rsidR="008907B2" w:rsidRPr="002C0214">
        <w:t xml:space="preserve">les comptes de dépôt, sauf ceux qui servent de garantie </w:t>
      </w:r>
      <w:r w:rsidR="00A81D74" w:rsidRPr="002C0214">
        <w:t>aux contrats dérivés</w:t>
      </w:r>
      <w:r w:rsidR="00A81D74" w:rsidRPr="002C0214">
        <w:rPr>
          <w:spacing w:val="6"/>
        </w:rPr>
        <w:t>.</w:t>
      </w:r>
    </w:p>
    <w:p w:rsidR="00047FAE" w:rsidRDefault="00047FAE">
      <w:pPr>
        <w:spacing w:line="240" w:lineRule="exact"/>
        <w:rPr>
          <w:sz w:val="24"/>
          <w:szCs w:val="24"/>
        </w:rPr>
      </w:pPr>
    </w:p>
    <w:p w:rsidR="00047FAE" w:rsidRDefault="00A81D74">
      <w:pPr>
        <w:pStyle w:val="BodyText"/>
        <w:spacing w:line="239" w:lineRule="auto"/>
        <w:ind w:right="116"/>
        <w:jc w:val="both"/>
      </w:pPr>
      <w:r w:rsidRPr="002C0214">
        <w:rPr>
          <w:spacing w:val="6"/>
        </w:rPr>
        <w:t>Nous recommandons également ce qui suit :</w:t>
      </w:r>
      <w:r w:rsidR="007309FF">
        <w:rPr>
          <w:spacing w:val="20"/>
        </w:rPr>
        <w:t xml:space="preserve"> </w:t>
      </w:r>
      <w:r w:rsidRPr="00AC452A">
        <w:t xml:space="preserve">modifier la LSM et la </w:t>
      </w:r>
      <w:r w:rsidRPr="00AC452A">
        <w:rPr>
          <w:i/>
        </w:rPr>
        <w:t xml:space="preserve">Loi sur le privilège des réparateurs et des entreposeurs </w:t>
      </w:r>
      <w:r w:rsidRPr="00AC452A">
        <w:t>(</w:t>
      </w:r>
      <w:r w:rsidR="002C0214" w:rsidRPr="00AC452A">
        <w:t xml:space="preserve">la </w:t>
      </w:r>
      <w:r w:rsidRPr="00AC452A">
        <w:t xml:space="preserve">LPRE) afin de codifier </w:t>
      </w:r>
      <w:r w:rsidR="00EC6E44" w:rsidRPr="00AC452A">
        <w:t xml:space="preserve">la jurisprudence de </w:t>
      </w:r>
      <w:r w:rsidR="00EC6E44" w:rsidRPr="00AC452A">
        <w:lastRenderedPageBreak/>
        <w:t>l’Ontario en matière d’</w:t>
      </w:r>
      <w:r w:rsidR="00EC6E44" w:rsidRPr="00AC452A">
        <w:rPr>
          <w:spacing w:val="-3"/>
        </w:rPr>
        <w:t>i</w:t>
      </w:r>
      <w:r w:rsidR="00EC6E44" w:rsidRPr="00AC452A">
        <w:t>dent</w:t>
      </w:r>
      <w:r w:rsidR="00EC6E44" w:rsidRPr="00AC452A">
        <w:rPr>
          <w:spacing w:val="-3"/>
        </w:rPr>
        <w:t>i</w:t>
      </w:r>
      <w:r w:rsidR="00EC6E44" w:rsidRPr="00AC452A">
        <w:rPr>
          <w:spacing w:val="2"/>
        </w:rPr>
        <w:t>f</w:t>
      </w:r>
      <w:r w:rsidR="00EC6E44" w:rsidRPr="00AC452A">
        <w:rPr>
          <w:spacing w:val="-1"/>
        </w:rPr>
        <w:t>i</w:t>
      </w:r>
      <w:r w:rsidR="00EC6E44" w:rsidRPr="00AC452A">
        <w:rPr>
          <w:spacing w:val="-3"/>
        </w:rPr>
        <w:t>c</w:t>
      </w:r>
      <w:r w:rsidR="00EC6E44" w:rsidRPr="00AC452A">
        <w:t>at</w:t>
      </w:r>
      <w:r w:rsidR="00EC6E44" w:rsidRPr="00AC452A">
        <w:rPr>
          <w:spacing w:val="-1"/>
        </w:rPr>
        <w:t>i</w:t>
      </w:r>
      <w:r w:rsidR="00EC6E44" w:rsidRPr="00AC452A">
        <w:t>on des véhicules motorisés au moyen de numéros d</w:t>
      </w:r>
      <w:r w:rsidR="00AC452A" w:rsidRPr="00AC452A">
        <w:t>’identification de véhicules;</w:t>
      </w:r>
      <w:r w:rsidR="00EC6E44" w:rsidRPr="00AC452A">
        <w:t xml:space="preserve"> rectifier </w:t>
      </w:r>
      <w:r w:rsidR="00FF4E5A" w:rsidRPr="00AC452A">
        <w:t xml:space="preserve">une question </w:t>
      </w:r>
      <w:r w:rsidR="00AC452A" w:rsidRPr="00AC452A">
        <w:t xml:space="preserve">d’ordre </w:t>
      </w:r>
      <w:r w:rsidR="00FF4E5A" w:rsidRPr="00AC452A">
        <w:t>tec</w:t>
      </w:r>
      <w:r w:rsidR="007C1ABE" w:rsidRPr="00AC452A">
        <w:t>hnique dans la LSM au sujet du lieu du débiteur</w:t>
      </w:r>
      <w:r w:rsidR="00AC452A" w:rsidRPr="00AC452A">
        <w:t xml:space="preserve">; et </w:t>
      </w:r>
      <w:r w:rsidR="007C1ABE" w:rsidRPr="00AC452A">
        <w:t xml:space="preserve">faire en sorte que le système </w:t>
      </w:r>
      <w:r w:rsidR="00EE32FA" w:rsidRPr="00AC452A">
        <w:t>d’enregistrement de la LSM et de la LPRE soit entièrement numérisé.</w:t>
      </w:r>
    </w:p>
    <w:p w:rsidR="00047FAE" w:rsidRDefault="00047FAE">
      <w:pPr>
        <w:spacing w:line="240" w:lineRule="exact"/>
        <w:rPr>
          <w:sz w:val="24"/>
          <w:szCs w:val="24"/>
        </w:rPr>
      </w:pPr>
    </w:p>
    <w:p w:rsidR="00047FAE" w:rsidRDefault="00E7335E">
      <w:pPr>
        <w:pStyle w:val="BodyText"/>
        <w:ind w:right="118"/>
        <w:jc w:val="both"/>
      </w:pPr>
      <w:r w:rsidRPr="00954409">
        <w:rPr>
          <w:spacing w:val="-1"/>
        </w:rPr>
        <w:t>Enfin, nous recommandons l’apport de certaines modifications à la loi sur le franchisage de l'</w:t>
      </w:r>
      <w:r w:rsidRPr="00954409">
        <w:t>Onta</w:t>
      </w:r>
      <w:r w:rsidRPr="00954409">
        <w:rPr>
          <w:spacing w:val="-1"/>
        </w:rPr>
        <w:t>ri</w:t>
      </w:r>
      <w:r w:rsidRPr="00954409">
        <w:t>o afin que les franchiseurs et les franchisés bénéfici</w:t>
      </w:r>
      <w:r w:rsidR="008A1E61" w:rsidRPr="00954409">
        <w:t xml:space="preserve">ent de plus grandes certitudes en ce qui a trait à d’importants </w:t>
      </w:r>
      <w:r w:rsidRPr="00954409">
        <w:t>aspects de leur relation de franchisage.</w:t>
      </w:r>
    </w:p>
    <w:p w:rsidR="00047FAE" w:rsidRDefault="00047FAE">
      <w:pPr>
        <w:jc w:val="both"/>
        <w:sectPr w:rsidR="00047FAE">
          <w:pgSz w:w="12240" w:h="15840"/>
          <w:pgMar w:top="1240" w:right="1320" w:bottom="920" w:left="1320" w:header="0" w:footer="731" w:gutter="0"/>
          <w:cols w:space="720"/>
        </w:sectPr>
      </w:pPr>
    </w:p>
    <w:p w:rsidR="00047FAE" w:rsidRDefault="00047FAE">
      <w:pPr>
        <w:spacing w:before="10" w:line="240" w:lineRule="exact"/>
        <w:rPr>
          <w:sz w:val="24"/>
          <w:szCs w:val="24"/>
        </w:rPr>
      </w:pPr>
    </w:p>
    <w:p w:rsidR="00047FAE" w:rsidRDefault="008A1E61">
      <w:pPr>
        <w:pStyle w:val="Heading11"/>
        <w:ind w:right="6620"/>
        <w:jc w:val="both"/>
        <w:rPr>
          <w:b w:val="0"/>
          <w:bCs w:val="0"/>
        </w:rPr>
      </w:pPr>
      <w:bookmarkStart w:id="3" w:name="Recommendations"/>
      <w:bookmarkStart w:id="4" w:name="_bookmark1"/>
      <w:bookmarkEnd w:id="3"/>
      <w:bookmarkEnd w:id="4"/>
      <w:r w:rsidRPr="00954409">
        <w:rPr>
          <w:spacing w:val="-1"/>
          <w:w w:val="95"/>
        </w:rPr>
        <w:t>R</w:t>
      </w:r>
      <w:r w:rsidRPr="00954409">
        <w:rPr>
          <w:w w:val="95"/>
        </w:rPr>
        <w:t>eco</w:t>
      </w:r>
      <w:r w:rsidRPr="00954409">
        <w:rPr>
          <w:spacing w:val="-1"/>
          <w:w w:val="95"/>
        </w:rPr>
        <w:t>mmand</w:t>
      </w:r>
      <w:r w:rsidRPr="00954409">
        <w:rPr>
          <w:spacing w:val="1"/>
          <w:w w:val="95"/>
        </w:rPr>
        <w:t>a</w:t>
      </w:r>
      <w:r w:rsidRPr="00954409">
        <w:rPr>
          <w:spacing w:val="-1"/>
          <w:w w:val="95"/>
        </w:rPr>
        <w:t>t</w:t>
      </w:r>
      <w:r w:rsidRPr="00954409">
        <w:rPr>
          <w:spacing w:val="1"/>
          <w:w w:val="95"/>
        </w:rPr>
        <w:t>i</w:t>
      </w:r>
      <w:r w:rsidRPr="00954409">
        <w:rPr>
          <w:spacing w:val="-1"/>
          <w:w w:val="95"/>
        </w:rPr>
        <w:t>ons</w:t>
      </w:r>
    </w:p>
    <w:p w:rsidR="00047FAE" w:rsidRDefault="00047FAE">
      <w:pPr>
        <w:spacing w:before="20" w:line="220" w:lineRule="exact"/>
      </w:pPr>
    </w:p>
    <w:p w:rsidR="00047FAE" w:rsidRDefault="008A1E61">
      <w:pPr>
        <w:pStyle w:val="BodyText"/>
        <w:ind w:right="115"/>
        <w:jc w:val="both"/>
      </w:pPr>
      <w:bookmarkStart w:id="5" w:name="The_Council's_Fall_2016_Recommendations_"/>
      <w:bookmarkEnd w:id="5"/>
      <w:r w:rsidRPr="00954409">
        <w:rPr>
          <w:spacing w:val="2"/>
        </w:rPr>
        <w:t xml:space="preserve">Les recommandations du Conseil pour l’automne </w:t>
      </w:r>
      <w:r w:rsidRPr="00954409">
        <w:t>2</w:t>
      </w:r>
      <w:r w:rsidRPr="00954409">
        <w:rPr>
          <w:spacing w:val="-2"/>
        </w:rPr>
        <w:t>0</w:t>
      </w:r>
      <w:r w:rsidRPr="00954409">
        <w:t xml:space="preserve">16 sont </w:t>
      </w:r>
      <w:r w:rsidR="00954409">
        <w:t>énoncées</w:t>
      </w:r>
      <w:r w:rsidRPr="00954409">
        <w:t xml:space="preserve"> ci-dessous.</w:t>
      </w:r>
      <w:r w:rsidR="007309FF">
        <w:rPr>
          <w:spacing w:val="23"/>
        </w:rPr>
        <w:t xml:space="preserve"> </w:t>
      </w:r>
      <w:r w:rsidR="00954409" w:rsidRPr="00954409">
        <w:rPr>
          <w:spacing w:val="-1"/>
        </w:rPr>
        <w:t>Par ailleurs, l</w:t>
      </w:r>
      <w:r w:rsidRPr="00954409">
        <w:rPr>
          <w:spacing w:val="-1"/>
        </w:rPr>
        <w:t xml:space="preserve">es raisons détaillées </w:t>
      </w:r>
      <w:r w:rsidR="00954409" w:rsidRPr="00954409">
        <w:rPr>
          <w:spacing w:val="-1"/>
        </w:rPr>
        <w:t xml:space="preserve">à l’appui de </w:t>
      </w:r>
      <w:r w:rsidRPr="00954409">
        <w:rPr>
          <w:spacing w:val="-1"/>
        </w:rPr>
        <w:t xml:space="preserve">ces recommandations sont </w:t>
      </w:r>
      <w:r w:rsidR="00954409" w:rsidRPr="00954409">
        <w:rPr>
          <w:spacing w:val="-1"/>
        </w:rPr>
        <w:t>expliquées</w:t>
      </w:r>
      <w:r w:rsidR="004D3BD5" w:rsidRPr="00954409">
        <w:rPr>
          <w:spacing w:val="-1"/>
        </w:rPr>
        <w:t xml:space="preserve"> dans le rapport.</w:t>
      </w:r>
      <w:r w:rsidR="007309FF">
        <w:rPr>
          <w:spacing w:val="8"/>
        </w:rPr>
        <w:t xml:space="preserve"> </w:t>
      </w:r>
      <w:r w:rsidR="004D3BD5" w:rsidRPr="00AF4114">
        <w:rPr>
          <w:spacing w:val="2"/>
        </w:rPr>
        <w:t xml:space="preserve">Ce rapport résume également certaines recommandations faites par le Conseil à l’égard du projet de loi </w:t>
      </w:r>
      <w:r w:rsidR="004D3BD5" w:rsidRPr="00AF4114">
        <w:t xml:space="preserve">27, soit la </w:t>
      </w:r>
      <w:r w:rsidR="004D3BD5" w:rsidRPr="00AF4114">
        <w:rPr>
          <w:i/>
        </w:rPr>
        <w:t xml:space="preserve">Loi </w:t>
      </w:r>
      <w:r w:rsidR="00B45A7E" w:rsidRPr="00AF4114">
        <w:rPr>
          <w:i/>
        </w:rPr>
        <w:t>de 2016 sur l’allègement du fardeau réglementaire</w:t>
      </w:r>
      <w:r w:rsidR="00B45A7E" w:rsidRPr="00AF4114">
        <w:t>.</w:t>
      </w:r>
    </w:p>
    <w:p w:rsidR="00047FAE" w:rsidRDefault="00047FAE">
      <w:pPr>
        <w:spacing w:before="1" w:line="240" w:lineRule="exact"/>
        <w:rPr>
          <w:sz w:val="24"/>
          <w:szCs w:val="24"/>
        </w:rPr>
      </w:pPr>
    </w:p>
    <w:p w:rsidR="00047FAE" w:rsidRDefault="00B45A7E" w:rsidP="00D172C3">
      <w:pPr>
        <w:ind w:left="120" w:right="3646"/>
        <w:jc w:val="both"/>
        <w:rPr>
          <w:rFonts w:ascii="Arial" w:eastAsia="Arial" w:hAnsi="Arial" w:cs="Arial"/>
          <w:sz w:val="28"/>
          <w:szCs w:val="28"/>
        </w:rPr>
      </w:pPr>
      <w:bookmarkStart w:id="6" w:name="Business_Corporations_Act"/>
      <w:bookmarkEnd w:id="6"/>
      <w:r w:rsidRPr="00AF4114">
        <w:rPr>
          <w:rFonts w:ascii="Arial" w:eastAsia="Arial" w:hAnsi="Arial" w:cs="Arial"/>
          <w:b/>
          <w:bCs/>
          <w:spacing w:val="-2"/>
          <w:sz w:val="28"/>
          <w:szCs w:val="28"/>
        </w:rPr>
        <w:t>Loi sur les sociétés par actions</w:t>
      </w:r>
    </w:p>
    <w:p w:rsidR="00047FAE" w:rsidRDefault="00047FAE">
      <w:pPr>
        <w:spacing w:before="19" w:line="220" w:lineRule="exact"/>
      </w:pPr>
    </w:p>
    <w:p w:rsidR="00047FAE" w:rsidRDefault="00B45A7E" w:rsidP="00AF4114">
      <w:pPr>
        <w:pStyle w:val="BodyText"/>
        <w:numPr>
          <w:ilvl w:val="0"/>
          <w:numId w:val="28"/>
        </w:numPr>
        <w:tabs>
          <w:tab w:val="left" w:pos="839"/>
        </w:tabs>
        <w:ind w:left="840" w:right="115"/>
        <w:jc w:val="both"/>
      </w:pPr>
      <w:bookmarkStart w:id="7" w:name="1._The_current_requirement_under_the_OBC"/>
      <w:bookmarkEnd w:id="7"/>
      <w:r w:rsidRPr="00AF4114">
        <w:rPr>
          <w:spacing w:val="2"/>
        </w:rPr>
        <w:t>L’exigence actuelle en vertu de la LSAO voulant que 25 pour cent des administrateurs soient résidents canadiens devrait être éliminée.</w:t>
      </w:r>
      <w:r w:rsidR="007309FF" w:rsidRPr="00AF4114">
        <w:rPr>
          <w:spacing w:val="15"/>
        </w:rPr>
        <w:t xml:space="preserve"> </w:t>
      </w:r>
      <w:r w:rsidRPr="00AF4114">
        <w:t>Nous recommandons également que le consentement écrit que doivent fournir les administrateurs à l’avance ou dans la période de dix jours suivant leur première élection soit accompagné d’un</w:t>
      </w:r>
      <w:r w:rsidR="00116B4B" w:rsidRPr="00AF4114">
        <w:t>e entente</w:t>
      </w:r>
      <w:r w:rsidRPr="00AF4114">
        <w:t xml:space="preserve"> de la part de l’administrateur éventuel </w:t>
      </w:r>
      <w:r w:rsidR="003E439C">
        <w:t>ou de l’administratrice éventuelle selon la</w:t>
      </w:r>
      <w:r w:rsidRPr="00AF4114">
        <w:t>quel</w:t>
      </w:r>
      <w:r w:rsidR="003E439C">
        <w:t>le</w:t>
      </w:r>
      <w:r w:rsidRPr="00AF4114">
        <w:t xml:space="preserve"> il </w:t>
      </w:r>
      <w:r w:rsidR="003E439C">
        <w:t xml:space="preserve">ou elle </w:t>
      </w:r>
      <w:r w:rsidR="00295298" w:rsidRPr="00AF4114">
        <w:t xml:space="preserve">s'en remet aux lois </w:t>
      </w:r>
      <w:r w:rsidR="00116B4B" w:rsidRPr="00AF4114">
        <w:t>de l'Ontario en ce qui concerne la société.</w:t>
      </w:r>
    </w:p>
    <w:p w:rsidR="00047FAE" w:rsidRDefault="00047FAE">
      <w:pPr>
        <w:spacing w:line="240" w:lineRule="exact"/>
        <w:rPr>
          <w:sz w:val="24"/>
          <w:szCs w:val="24"/>
        </w:rPr>
      </w:pPr>
    </w:p>
    <w:p w:rsidR="00047FAE" w:rsidRDefault="00371E77" w:rsidP="00AF4114">
      <w:pPr>
        <w:pStyle w:val="BodyText"/>
        <w:numPr>
          <w:ilvl w:val="0"/>
          <w:numId w:val="28"/>
        </w:numPr>
        <w:tabs>
          <w:tab w:val="left" w:pos="839"/>
        </w:tabs>
        <w:ind w:left="840" w:right="117"/>
        <w:jc w:val="both"/>
      </w:pPr>
      <w:bookmarkStart w:id="8" w:name="2._Shareholders_should_have_the_right_to"/>
      <w:bookmarkEnd w:id="8"/>
      <w:r w:rsidRPr="00AF4114">
        <w:t>Les actionnaires devraient avoir le droit de présenter une proposition de nouveau</w:t>
      </w:r>
      <w:r w:rsidR="00A04950">
        <w:t xml:space="preserve"> </w:t>
      </w:r>
      <w:r w:rsidRPr="00AF4114">
        <w:t>chaque année si la proposition a reçu un degr</w:t>
      </w:r>
      <w:r w:rsidR="00AF4114" w:rsidRPr="00AF4114">
        <w:t>é de soutien prescrit (et minimal</w:t>
      </w:r>
      <w:r w:rsidRPr="00AF4114">
        <w:t xml:space="preserve">) à sa première année ou atteint un degré de soutien prescrit accru au cours des années </w:t>
      </w:r>
      <w:r w:rsidR="00C07B56" w:rsidRPr="00AF4114">
        <w:t>su</w:t>
      </w:r>
      <w:r w:rsidR="00265922" w:rsidRPr="00AF4114">
        <w:t>ivantes</w:t>
      </w:r>
      <w:r w:rsidRPr="00AF4114">
        <w:t>.</w:t>
      </w:r>
    </w:p>
    <w:p w:rsidR="00047FAE" w:rsidRDefault="00047FAE">
      <w:pPr>
        <w:spacing w:line="240" w:lineRule="exact"/>
        <w:rPr>
          <w:sz w:val="24"/>
          <w:szCs w:val="24"/>
        </w:rPr>
      </w:pPr>
    </w:p>
    <w:p w:rsidR="00047FAE" w:rsidRDefault="00C54F1B" w:rsidP="00FF010B">
      <w:pPr>
        <w:pStyle w:val="BodyText"/>
        <w:numPr>
          <w:ilvl w:val="0"/>
          <w:numId w:val="28"/>
        </w:numPr>
        <w:tabs>
          <w:tab w:val="left" w:pos="839"/>
        </w:tabs>
        <w:ind w:left="840" w:right="118"/>
        <w:jc w:val="both"/>
      </w:pPr>
      <w:bookmarkStart w:id="9" w:name="3._The_time_period_for_shareholders_of_a"/>
      <w:bookmarkEnd w:id="9"/>
      <w:r w:rsidRPr="00FF010B">
        <w:rPr>
          <w:spacing w:val="2"/>
        </w:rPr>
        <w:t xml:space="preserve">Le délai accordé aux actionnaires d’une société ne faisant pas appel au public pour présenter une proposition devrait être énoncé dans les règlements administratifs de la société (sous réserve de certaines </w:t>
      </w:r>
      <w:r w:rsidR="003E7B28" w:rsidRPr="00FF010B">
        <w:rPr>
          <w:spacing w:val="2"/>
        </w:rPr>
        <w:t>restrictions</w:t>
      </w:r>
      <w:r w:rsidRPr="00FF010B">
        <w:rPr>
          <w:spacing w:val="2"/>
        </w:rPr>
        <w:t>).</w:t>
      </w:r>
    </w:p>
    <w:p w:rsidR="00047FAE" w:rsidRDefault="00047FAE">
      <w:pPr>
        <w:spacing w:before="1" w:line="240" w:lineRule="exact"/>
        <w:rPr>
          <w:sz w:val="24"/>
          <w:szCs w:val="24"/>
        </w:rPr>
      </w:pPr>
    </w:p>
    <w:p w:rsidR="00047FAE" w:rsidRDefault="00C54F1B">
      <w:pPr>
        <w:ind w:left="120" w:right="797"/>
        <w:jc w:val="both"/>
        <w:rPr>
          <w:rFonts w:ascii="Arial" w:eastAsia="Arial" w:hAnsi="Arial" w:cs="Arial"/>
          <w:sz w:val="28"/>
          <w:szCs w:val="28"/>
        </w:rPr>
      </w:pPr>
      <w:bookmarkStart w:id="10" w:name="Personal_Property_Security_Act_and_Repai"/>
      <w:bookmarkEnd w:id="10"/>
      <w:r w:rsidRPr="00E47CE3">
        <w:rPr>
          <w:rFonts w:ascii="Arial" w:eastAsia="Arial" w:hAnsi="Arial" w:cs="Arial"/>
          <w:b/>
          <w:bCs/>
          <w:spacing w:val="-1"/>
          <w:sz w:val="28"/>
          <w:szCs w:val="28"/>
        </w:rPr>
        <w:t>Loi sur les sûretés mobilières et Loi sur le privilège des réparateurs et des entreposeurs</w:t>
      </w:r>
    </w:p>
    <w:p w:rsidR="00047FAE" w:rsidRDefault="00047FAE">
      <w:pPr>
        <w:spacing w:before="19" w:line="220" w:lineRule="exact"/>
      </w:pPr>
    </w:p>
    <w:p w:rsidR="00047FAE" w:rsidRPr="00E47CE3" w:rsidRDefault="00C54F1B" w:rsidP="00E47CE3">
      <w:pPr>
        <w:pStyle w:val="BodyText"/>
        <w:numPr>
          <w:ilvl w:val="0"/>
          <w:numId w:val="28"/>
        </w:numPr>
        <w:tabs>
          <w:tab w:val="left" w:pos="839"/>
        </w:tabs>
        <w:spacing w:line="239" w:lineRule="auto"/>
        <w:ind w:left="840" w:right="115"/>
        <w:jc w:val="both"/>
        <w:rPr>
          <w:rFonts w:cs="Arial"/>
        </w:rPr>
      </w:pPr>
      <w:bookmarkStart w:id="11" w:name="4._The_PPSA_should_be_amended_to_enable_"/>
      <w:bookmarkEnd w:id="11"/>
      <w:r w:rsidRPr="00E47CE3">
        <w:rPr>
          <w:spacing w:val="2"/>
        </w:rPr>
        <w:t>La LSM devrait être modifiée pour perme</w:t>
      </w:r>
      <w:r w:rsidR="005B1E13" w:rsidRPr="00E47CE3">
        <w:rPr>
          <w:spacing w:val="2"/>
        </w:rPr>
        <w:t>ttre aux sûretés d’une garantie</w:t>
      </w:r>
      <w:r w:rsidRPr="00E47CE3">
        <w:rPr>
          <w:spacing w:val="2"/>
        </w:rPr>
        <w:t xml:space="preserve"> en espèces d’être rendues opposables par « maîtrise », ce qui assurerait aux créanciers garantis la première priorité à l’égard des sûretés </w:t>
      </w:r>
      <w:r w:rsidR="00E47CE3" w:rsidRPr="00E47CE3">
        <w:rPr>
          <w:spacing w:val="2"/>
        </w:rPr>
        <w:t>de</w:t>
      </w:r>
      <w:r w:rsidRPr="00E47CE3">
        <w:rPr>
          <w:spacing w:val="2"/>
        </w:rPr>
        <w:t xml:space="preserve"> l</w:t>
      </w:r>
      <w:r w:rsidR="00BF16F8" w:rsidRPr="00E47CE3">
        <w:rPr>
          <w:spacing w:val="2"/>
        </w:rPr>
        <w:t>adite garantie</w:t>
      </w:r>
      <w:r w:rsidRPr="00E47CE3">
        <w:rPr>
          <w:spacing w:val="2"/>
        </w:rPr>
        <w:t>.</w:t>
      </w:r>
      <w:r w:rsidR="007309FF" w:rsidRPr="00E47CE3">
        <w:rPr>
          <w:spacing w:val="48"/>
        </w:rPr>
        <w:t xml:space="preserve"> </w:t>
      </w:r>
      <w:r w:rsidRPr="00E47CE3">
        <w:rPr>
          <w:spacing w:val="-1"/>
        </w:rPr>
        <w:t>Cependant,</w:t>
      </w:r>
      <w:r w:rsidR="00C10C26" w:rsidRPr="00E47CE3">
        <w:rPr>
          <w:spacing w:val="-1"/>
        </w:rPr>
        <w:t xml:space="preserve"> afin de dissiper</w:t>
      </w:r>
      <w:r w:rsidR="00C13764" w:rsidRPr="00E47CE3">
        <w:rPr>
          <w:spacing w:val="-1"/>
        </w:rPr>
        <w:t xml:space="preserve"> les inquiétudes exprimées par certaines parties prenantes représentant les</w:t>
      </w:r>
      <w:r w:rsidR="007D013E" w:rsidRPr="00E47CE3">
        <w:rPr>
          <w:spacing w:val="-1"/>
        </w:rPr>
        <w:t xml:space="preserve"> bénéficiaires de pension</w:t>
      </w:r>
      <w:r w:rsidR="00E47CE3" w:rsidRPr="00E47CE3">
        <w:rPr>
          <w:spacing w:val="-1"/>
        </w:rPr>
        <w:t>s</w:t>
      </w:r>
      <w:r w:rsidR="007D013E" w:rsidRPr="00E47CE3">
        <w:rPr>
          <w:spacing w:val="-1"/>
        </w:rPr>
        <w:t>, nous recommandons également l’apport d’une autre modification favorisant la conservation de la priorité accordée en vertu de l’art</w:t>
      </w:r>
      <w:r w:rsidR="00E47CE3">
        <w:rPr>
          <w:spacing w:val="-1"/>
        </w:rPr>
        <w:t>icle</w:t>
      </w:r>
      <w:r w:rsidR="007D013E" w:rsidRPr="00E47CE3">
        <w:rPr>
          <w:spacing w:val="-1"/>
        </w:rPr>
        <w:t xml:space="preserve"> 30</w:t>
      </w:r>
      <w:r w:rsidR="004A5FA7" w:rsidRPr="00E47CE3">
        <w:rPr>
          <w:spacing w:val="-1"/>
        </w:rPr>
        <w:t> (</w:t>
      </w:r>
      <w:r w:rsidR="007D013E" w:rsidRPr="00E47CE3">
        <w:rPr>
          <w:spacing w:val="-1"/>
        </w:rPr>
        <w:t>7)</w:t>
      </w:r>
      <w:r w:rsidR="004A5FA7" w:rsidRPr="00E47CE3">
        <w:rPr>
          <w:spacing w:val="-1"/>
        </w:rPr>
        <w:t xml:space="preserve"> à l’égard de tous les comptes de dépôt</w:t>
      </w:r>
      <w:r w:rsidR="00A04950">
        <w:rPr>
          <w:spacing w:val="-1"/>
        </w:rPr>
        <w:t xml:space="preserve"> </w:t>
      </w:r>
      <w:r w:rsidR="00C10C26" w:rsidRPr="00E47CE3">
        <w:rPr>
          <w:spacing w:val="-1"/>
        </w:rPr>
        <w:t>autres que ceux qui servent de « </w:t>
      </w:r>
      <w:r w:rsidR="00BF16F8" w:rsidRPr="00E47CE3">
        <w:rPr>
          <w:spacing w:val="-1"/>
        </w:rPr>
        <w:t>garantie financière</w:t>
      </w:r>
      <w:r w:rsidR="00C10C26" w:rsidRPr="00E47CE3">
        <w:rPr>
          <w:spacing w:val="-1"/>
        </w:rPr>
        <w:t xml:space="preserve"> » </w:t>
      </w:r>
      <w:r w:rsidR="005204B0" w:rsidRPr="00E47CE3">
        <w:rPr>
          <w:spacing w:val="-1"/>
        </w:rPr>
        <w:t>pour les « </w:t>
      </w:r>
      <w:r w:rsidR="009F7CAF" w:rsidRPr="00E47CE3">
        <w:rPr>
          <w:spacing w:val="-1"/>
        </w:rPr>
        <w:t xml:space="preserve">contrats financiers admissibles », comme </w:t>
      </w:r>
      <w:r w:rsidR="004F7AB8">
        <w:rPr>
          <w:spacing w:val="-1"/>
        </w:rPr>
        <w:t>définis</w:t>
      </w:r>
      <w:r w:rsidR="009F7CAF" w:rsidRPr="00E47CE3">
        <w:rPr>
          <w:spacing w:val="-1"/>
        </w:rPr>
        <w:t xml:space="preserve"> dans les règlements afférents à la </w:t>
      </w:r>
      <w:r w:rsidR="009F7CAF" w:rsidRPr="00E47CE3">
        <w:rPr>
          <w:i/>
          <w:spacing w:val="-1"/>
        </w:rPr>
        <w:t>Loi sur la faillite et l’insolvabilité</w:t>
      </w:r>
      <w:r w:rsidR="009F7CAF" w:rsidRPr="00E47CE3">
        <w:rPr>
          <w:spacing w:val="-1"/>
        </w:rPr>
        <w:t xml:space="preserve">, dont la définition </w:t>
      </w:r>
      <w:r w:rsidR="0061457E" w:rsidRPr="00E47CE3">
        <w:rPr>
          <w:spacing w:val="-1"/>
        </w:rPr>
        <w:t>comprend</w:t>
      </w:r>
      <w:r w:rsidR="009F7CAF" w:rsidRPr="00E47CE3">
        <w:rPr>
          <w:spacing w:val="-1"/>
        </w:rPr>
        <w:t xml:space="preserve"> la plupart des formes de dérivés </w:t>
      </w:r>
      <w:r w:rsidR="00035B3A" w:rsidRPr="00E47CE3">
        <w:rPr>
          <w:spacing w:val="-1"/>
        </w:rPr>
        <w:t>hors cote.</w:t>
      </w:r>
    </w:p>
    <w:p w:rsidR="00047FAE" w:rsidRDefault="00047FAE">
      <w:pPr>
        <w:spacing w:before="2" w:line="240" w:lineRule="exact"/>
        <w:rPr>
          <w:sz w:val="24"/>
          <w:szCs w:val="24"/>
        </w:rPr>
      </w:pPr>
    </w:p>
    <w:p w:rsidR="00047FAE" w:rsidRDefault="0061457E" w:rsidP="00E47CE3">
      <w:pPr>
        <w:pStyle w:val="BodyText"/>
        <w:numPr>
          <w:ilvl w:val="0"/>
          <w:numId w:val="28"/>
        </w:numPr>
        <w:tabs>
          <w:tab w:val="left" w:pos="839"/>
        </w:tabs>
        <w:ind w:left="840" w:right="118"/>
        <w:jc w:val="both"/>
      </w:pPr>
      <w:bookmarkStart w:id="12" w:name="5._The_PPSA_and_RSLA_should_codify_Ontar"/>
      <w:bookmarkEnd w:id="12"/>
      <w:r w:rsidRPr="00E47CE3">
        <w:rPr>
          <w:spacing w:val="2"/>
        </w:rPr>
        <w:t>La LSM et la LPRE devraient codifier la jurisprudence de l’</w:t>
      </w:r>
      <w:r w:rsidRPr="00E47CE3">
        <w:t>Onta</w:t>
      </w:r>
      <w:r w:rsidRPr="00E47CE3">
        <w:rPr>
          <w:spacing w:val="-1"/>
        </w:rPr>
        <w:t>ri</w:t>
      </w:r>
      <w:r w:rsidRPr="00E47CE3">
        <w:t xml:space="preserve">o afin de confirmer </w:t>
      </w:r>
      <w:r w:rsidR="003A1F3F" w:rsidRPr="00E47CE3">
        <w:t xml:space="preserve">comme rendus opposables les </w:t>
      </w:r>
      <w:r w:rsidR="00542726" w:rsidRPr="00E47CE3">
        <w:t xml:space="preserve">sûretés et les privilèges à l’égard d’un véhicule motorisé </w:t>
      </w:r>
      <w:r w:rsidR="0031279D" w:rsidRPr="00E47CE3">
        <w:t>décrit co</w:t>
      </w:r>
      <w:r w:rsidR="00FD0779" w:rsidRPr="00E47CE3">
        <w:t>rrectement</w:t>
      </w:r>
      <w:r w:rsidR="0031279D" w:rsidRPr="00E47CE3">
        <w:t xml:space="preserve"> </w:t>
      </w:r>
      <w:r w:rsidR="00FD0779" w:rsidRPr="00E47CE3">
        <w:t>dans l’état de financement ou la revendication de privilège au moyen de son numéro d’identification de véhicule (</w:t>
      </w:r>
      <w:r w:rsidR="00E47CE3" w:rsidRPr="00E47CE3">
        <w:t xml:space="preserve">le </w:t>
      </w:r>
      <w:r w:rsidR="00FD0779" w:rsidRPr="00E47CE3">
        <w:t>NIV) même s’il y a erreur dans le nom d</w:t>
      </w:r>
      <w:r w:rsidR="004F4463" w:rsidRPr="00E47CE3">
        <w:t>u débiteur</w:t>
      </w:r>
      <w:r w:rsidR="00856344" w:rsidRPr="00E47CE3">
        <w:t>.</w:t>
      </w:r>
    </w:p>
    <w:p w:rsidR="00D172C3" w:rsidRDefault="00D172C3" w:rsidP="00D172C3">
      <w:pPr>
        <w:pStyle w:val="ListParagraph"/>
      </w:pPr>
    </w:p>
    <w:p w:rsidR="00D172C3" w:rsidRDefault="00D172C3" w:rsidP="00D172C3">
      <w:pPr>
        <w:pStyle w:val="BodyText"/>
        <w:tabs>
          <w:tab w:val="left" w:pos="839"/>
        </w:tabs>
        <w:ind w:right="118"/>
        <w:jc w:val="both"/>
      </w:pPr>
    </w:p>
    <w:p w:rsidR="00047FAE" w:rsidRDefault="00047FAE">
      <w:pPr>
        <w:spacing w:line="240" w:lineRule="exact"/>
        <w:rPr>
          <w:sz w:val="24"/>
          <w:szCs w:val="24"/>
        </w:rPr>
      </w:pPr>
    </w:p>
    <w:p w:rsidR="00047FAE" w:rsidRDefault="00856344" w:rsidP="00822DD4">
      <w:pPr>
        <w:pStyle w:val="BodyText"/>
        <w:numPr>
          <w:ilvl w:val="0"/>
          <w:numId w:val="28"/>
        </w:numPr>
        <w:tabs>
          <w:tab w:val="left" w:pos="839"/>
        </w:tabs>
        <w:ind w:left="840" w:right="117"/>
        <w:jc w:val="both"/>
      </w:pPr>
      <w:bookmarkStart w:id="13" w:name="6._Sections_7.2(7),_7.3(6)_and_7(2)_of_t"/>
      <w:bookmarkEnd w:id="13"/>
      <w:r w:rsidRPr="00822DD4">
        <w:t xml:space="preserve">Les articles 7.2 (7), 7.3 (6) et 7 (2) de la LSM </w:t>
      </w:r>
      <w:r w:rsidR="00781BC7" w:rsidRPr="00822DD4">
        <w:t>devraient être modifié</w:t>
      </w:r>
      <w:r w:rsidR="005958A2" w:rsidRPr="00822DD4">
        <w:t>s</w:t>
      </w:r>
      <w:r w:rsidR="00781BC7" w:rsidRPr="00822DD4">
        <w:t xml:space="preserve"> afin de corriger une question </w:t>
      </w:r>
      <w:r w:rsidR="00AD6E7B" w:rsidRPr="00822DD4">
        <w:t xml:space="preserve">d’ordre </w:t>
      </w:r>
      <w:r w:rsidR="00781BC7" w:rsidRPr="00822DD4">
        <w:t>technique ayant trait aux règles</w:t>
      </w:r>
      <w:r w:rsidR="00F50E17" w:rsidRPr="00822DD4">
        <w:t xml:space="preserve"> transitoires</w:t>
      </w:r>
      <w:r w:rsidR="00781BC7" w:rsidRPr="00822DD4">
        <w:t xml:space="preserve"> </w:t>
      </w:r>
      <w:r w:rsidR="005958A2" w:rsidRPr="00822DD4">
        <w:t>se rappor</w:t>
      </w:r>
      <w:r w:rsidR="009866DD" w:rsidRPr="00822DD4">
        <w:t>t</w:t>
      </w:r>
      <w:r w:rsidR="005958A2" w:rsidRPr="00822DD4">
        <w:t>ant</w:t>
      </w:r>
      <w:r w:rsidR="00781BC7" w:rsidRPr="00822DD4">
        <w:t xml:space="preserve"> au lieu d</w:t>
      </w:r>
      <w:r w:rsidR="004F4463" w:rsidRPr="00822DD4">
        <w:t>u débiteur</w:t>
      </w:r>
      <w:r w:rsidR="00AD6E7B" w:rsidRPr="00822DD4">
        <w:t>, règles</w:t>
      </w:r>
      <w:r w:rsidR="005958A2" w:rsidRPr="00822DD4">
        <w:t xml:space="preserve"> </w:t>
      </w:r>
      <w:r w:rsidR="009866DD" w:rsidRPr="00822DD4">
        <w:t>adoptées le 31 décembre 2015 dans le but de conserver comme rendus adéquatement opposables</w:t>
      </w:r>
      <w:r w:rsidR="00822DD4" w:rsidRPr="00822DD4">
        <w:t>,</w:t>
      </w:r>
      <w:r w:rsidR="009866DD" w:rsidRPr="00822DD4">
        <w:t xml:space="preserve"> sans la prise d’autres mesures</w:t>
      </w:r>
      <w:r w:rsidR="00822DD4" w:rsidRPr="00822DD4">
        <w:t>,</w:t>
      </w:r>
      <w:r w:rsidR="009866DD" w:rsidRPr="00822DD4">
        <w:t xml:space="preserve"> les enregistrements actuels en vertu de la LSM lorsque le lieu </w:t>
      </w:r>
      <w:r w:rsidR="004F4463" w:rsidRPr="00822DD4">
        <w:t>juridique du débiteur n’est pas changé par les nouvelles règles relatives au lieu</w:t>
      </w:r>
      <w:r w:rsidRPr="00822DD4">
        <w:t>.</w:t>
      </w:r>
    </w:p>
    <w:p w:rsidR="00047FAE" w:rsidRDefault="00047FAE">
      <w:pPr>
        <w:spacing w:line="240" w:lineRule="exact"/>
        <w:rPr>
          <w:sz w:val="24"/>
          <w:szCs w:val="24"/>
        </w:rPr>
      </w:pPr>
    </w:p>
    <w:p w:rsidR="00047FAE" w:rsidRDefault="004F4463" w:rsidP="00822DD4">
      <w:pPr>
        <w:pStyle w:val="BodyText"/>
        <w:numPr>
          <w:ilvl w:val="0"/>
          <w:numId w:val="28"/>
        </w:numPr>
        <w:tabs>
          <w:tab w:val="left" w:pos="839"/>
        </w:tabs>
        <w:ind w:left="840" w:right="115"/>
        <w:jc w:val="both"/>
      </w:pPr>
      <w:bookmarkStart w:id="14" w:name="7._The_PPSA_and_RSLA_registry_system_sho"/>
      <w:bookmarkEnd w:id="14"/>
      <w:r w:rsidRPr="00822DD4">
        <w:rPr>
          <w:spacing w:val="2"/>
        </w:rPr>
        <w:t>Le système d’enregistrement de la LSM et de la LPRE devrait être e</w:t>
      </w:r>
      <w:r w:rsidR="00FF6E15" w:rsidRPr="00822DD4">
        <w:rPr>
          <w:spacing w:val="2"/>
        </w:rPr>
        <w:t xml:space="preserve">ntièrement numérisé, tant pour </w:t>
      </w:r>
      <w:r w:rsidR="00822DD4" w:rsidRPr="00822DD4">
        <w:rPr>
          <w:spacing w:val="2"/>
        </w:rPr>
        <w:t>ce qui est d</w:t>
      </w:r>
      <w:r w:rsidR="00FF6E15" w:rsidRPr="00822DD4">
        <w:rPr>
          <w:spacing w:val="2"/>
        </w:rPr>
        <w:t>e</w:t>
      </w:r>
      <w:r w:rsidR="00393010" w:rsidRPr="00822DD4">
        <w:rPr>
          <w:spacing w:val="2"/>
        </w:rPr>
        <w:t>s fonctionnalités</w:t>
      </w:r>
      <w:r w:rsidR="00FF6E15" w:rsidRPr="00822DD4">
        <w:rPr>
          <w:spacing w:val="2"/>
        </w:rPr>
        <w:t xml:space="preserve"> </w:t>
      </w:r>
      <w:r w:rsidR="00393010" w:rsidRPr="00822DD4">
        <w:rPr>
          <w:spacing w:val="2"/>
        </w:rPr>
        <w:t xml:space="preserve">de </w:t>
      </w:r>
      <w:r w:rsidR="00FF6E15" w:rsidRPr="00822DD4">
        <w:rPr>
          <w:spacing w:val="2"/>
        </w:rPr>
        <w:t xml:space="preserve">dépôt que </w:t>
      </w:r>
      <w:r w:rsidR="00393010" w:rsidRPr="00822DD4">
        <w:rPr>
          <w:spacing w:val="2"/>
        </w:rPr>
        <w:t>de</w:t>
      </w:r>
      <w:r w:rsidR="00FF6E15" w:rsidRPr="00822DD4">
        <w:rPr>
          <w:spacing w:val="2"/>
        </w:rPr>
        <w:t xml:space="preserve"> recherche.</w:t>
      </w:r>
      <w:r w:rsidR="00393010" w:rsidRPr="00822DD4">
        <w:rPr>
          <w:spacing w:val="2"/>
        </w:rPr>
        <w:t xml:space="preserve"> Il faudrait également</w:t>
      </w:r>
      <w:r w:rsidR="00FF6E15" w:rsidRPr="00822DD4">
        <w:rPr>
          <w:spacing w:val="2"/>
        </w:rPr>
        <w:t xml:space="preserve"> prévoir des mises à niveau </w:t>
      </w:r>
      <w:r w:rsidR="00822DD4" w:rsidRPr="00822DD4">
        <w:rPr>
          <w:spacing w:val="2"/>
        </w:rPr>
        <w:t xml:space="preserve">pour </w:t>
      </w:r>
      <w:r w:rsidR="00FF6E15" w:rsidRPr="00822DD4">
        <w:rPr>
          <w:spacing w:val="2"/>
        </w:rPr>
        <w:t>améliorer l’efficacité et la sécurité du système.</w:t>
      </w:r>
    </w:p>
    <w:p w:rsidR="00047FAE" w:rsidRDefault="00047FAE">
      <w:pPr>
        <w:jc w:val="both"/>
        <w:sectPr w:rsidR="00047FAE">
          <w:headerReference w:type="default" r:id="rId10"/>
          <w:pgSz w:w="12240" w:h="15840"/>
          <w:pgMar w:top="980" w:right="1320" w:bottom="920" w:left="1320" w:header="743" w:footer="731" w:gutter="0"/>
          <w:pgNumType w:start="2"/>
          <w:cols w:space="720"/>
        </w:sectPr>
      </w:pPr>
    </w:p>
    <w:p w:rsidR="00047FAE" w:rsidRDefault="00047FAE">
      <w:pPr>
        <w:spacing w:before="5" w:line="240" w:lineRule="exact"/>
        <w:rPr>
          <w:sz w:val="24"/>
          <w:szCs w:val="24"/>
        </w:rPr>
      </w:pPr>
    </w:p>
    <w:p w:rsidR="00047FAE" w:rsidRDefault="004940AC">
      <w:pPr>
        <w:spacing w:before="65"/>
        <w:ind w:left="100"/>
        <w:rPr>
          <w:rFonts w:ascii="Arial" w:eastAsia="Arial" w:hAnsi="Arial" w:cs="Arial"/>
          <w:sz w:val="28"/>
          <w:szCs w:val="28"/>
        </w:rPr>
      </w:pPr>
      <w:bookmarkStart w:id="15" w:name="Arthur_Wishart_Act"/>
      <w:bookmarkEnd w:id="15"/>
      <w:r w:rsidRPr="00822DD4">
        <w:rPr>
          <w:rFonts w:ascii="Arial" w:eastAsia="Arial" w:hAnsi="Arial" w:cs="Arial"/>
          <w:b/>
          <w:bCs/>
          <w:spacing w:val="-6"/>
          <w:sz w:val="28"/>
          <w:szCs w:val="28"/>
        </w:rPr>
        <w:t>Loi A</w:t>
      </w:r>
      <w:r w:rsidRPr="00822DD4">
        <w:rPr>
          <w:rFonts w:ascii="Arial" w:eastAsia="Arial" w:hAnsi="Arial" w:cs="Arial"/>
          <w:b/>
          <w:bCs/>
          <w:spacing w:val="3"/>
          <w:sz w:val="28"/>
          <w:szCs w:val="28"/>
        </w:rPr>
        <w:t>r</w:t>
      </w:r>
      <w:r w:rsidRPr="00822DD4">
        <w:rPr>
          <w:rFonts w:ascii="Arial" w:eastAsia="Arial" w:hAnsi="Arial" w:cs="Arial"/>
          <w:b/>
          <w:bCs/>
          <w:sz w:val="28"/>
          <w:szCs w:val="28"/>
        </w:rPr>
        <w:t>t</w:t>
      </w:r>
      <w:r w:rsidRPr="00822DD4">
        <w:rPr>
          <w:rFonts w:ascii="Arial" w:eastAsia="Arial" w:hAnsi="Arial" w:cs="Arial"/>
          <w:b/>
          <w:bCs/>
          <w:spacing w:val="-2"/>
          <w:sz w:val="28"/>
          <w:szCs w:val="28"/>
        </w:rPr>
        <w:t>hu</w:t>
      </w:r>
      <w:r w:rsidRPr="00822DD4">
        <w:rPr>
          <w:rFonts w:ascii="Arial" w:eastAsia="Arial" w:hAnsi="Arial" w:cs="Arial"/>
          <w:b/>
          <w:bCs/>
          <w:sz w:val="28"/>
          <w:szCs w:val="28"/>
        </w:rPr>
        <w:t xml:space="preserve">r </w:t>
      </w:r>
      <w:r w:rsidRPr="00822DD4">
        <w:rPr>
          <w:rFonts w:ascii="Arial" w:eastAsia="Arial" w:hAnsi="Arial" w:cs="Arial"/>
          <w:b/>
          <w:bCs/>
          <w:spacing w:val="-2"/>
          <w:sz w:val="28"/>
          <w:szCs w:val="28"/>
        </w:rPr>
        <w:t>W</w:t>
      </w:r>
      <w:r w:rsidRPr="00822DD4">
        <w:rPr>
          <w:rFonts w:ascii="Arial" w:eastAsia="Arial" w:hAnsi="Arial" w:cs="Arial"/>
          <w:b/>
          <w:bCs/>
          <w:spacing w:val="1"/>
          <w:sz w:val="28"/>
          <w:szCs w:val="28"/>
        </w:rPr>
        <w:t>i</w:t>
      </w:r>
      <w:r w:rsidRPr="00822DD4">
        <w:rPr>
          <w:rFonts w:ascii="Arial" w:eastAsia="Arial" w:hAnsi="Arial" w:cs="Arial"/>
          <w:b/>
          <w:bCs/>
          <w:spacing w:val="-1"/>
          <w:sz w:val="28"/>
          <w:szCs w:val="28"/>
        </w:rPr>
        <w:t>s</w:t>
      </w:r>
      <w:r w:rsidRPr="00822DD4">
        <w:rPr>
          <w:rFonts w:ascii="Arial" w:eastAsia="Arial" w:hAnsi="Arial" w:cs="Arial"/>
          <w:b/>
          <w:bCs/>
          <w:spacing w:val="-2"/>
          <w:sz w:val="28"/>
          <w:szCs w:val="28"/>
        </w:rPr>
        <w:t>h</w:t>
      </w:r>
      <w:r w:rsidRPr="00822DD4">
        <w:rPr>
          <w:rFonts w:ascii="Arial" w:eastAsia="Arial" w:hAnsi="Arial" w:cs="Arial"/>
          <w:b/>
          <w:bCs/>
          <w:spacing w:val="-1"/>
          <w:sz w:val="28"/>
          <w:szCs w:val="28"/>
        </w:rPr>
        <w:t>a</w:t>
      </w:r>
      <w:r w:rsidRPr="00822DD4">
        <w:rPr>
          <w:rFonts w:ascii="Arial" w:eastAsia="Arial" w:hAnsi="Arial" w:cs="Arial"/>
          <w:b/>
          <w:bCs/>
          <w:spacing w:val="1"/>
          <w:sz w:val="28"/>
          <w:szCs w:val="28"/>
        </w:rPr>
        <w:t>r</w:t>
      </w:r>
      <w:r w:rsidRPr="00822DD4">
        <w:rPr>
          <w:rFonts w:ascii="Arial" w:eastAsia="Arial" w:hAnsi="Arial" w:cs="Arial"/>
          <w:b/>
          <w:bCs/>
          <w:sz w:val="28"/>
          <w:szCs w:val="28"/>
        </w:rPr>
        <w:t>t</w:t>
      </w:r>
    </w:p>
    <w:p w:rsidR="00047FAE" w:rsidRDefault="00047FAE">
      <w:pPr>
        <w:spacing w:before="19" w:line="220" w:lineRule="exact"/>
      </w:pPr>
    </w:p>
    <w:p w:rsidR="00047FAE" w:rsidRDefault="00832724" w:rsidP="00822DD4">
      <w:pPr>
        <w:pStyle w:val="BodyText"/>
        <w:numPr>
          <w:ilvl w:val="0"/>
          <w:numId w:val="28"/>
        </w:numPr>
        <w:tabs>
          <w:tab w:val="left" w:pos="819"/>
        </w:tabs>
        <w:ind w:left="820" w:right="120"/>
        <w:jc w:val="both"/>
      </w:pPr>
      <w:bookmarkStart w:id="16" w:name="8._Certain_definitions_in_the_Arthur_Wis"/>
      <w:bookmarkEnd w:id="16"/>
      <w:r w:rsidRPr="00822DD4">
        <w:rPr>
          <w:spacing w:val="-1"/>
        </w:rPr>
        <w:t xml:space="preserve">Il y aurait lieu de modifier certaines définitions de la </w:t>
      </w:r>
      <w:r w:rsidRPr="00822DD4">
        <w:rPr>
          <w:i/>
          <w:spacing w:val="-1"/>
        </w:rPr>
        <w:t>Loi Arthur Wishart</w:t>
      </w:r>
      <w:r w:rsidRPr="00822DD4">
        <w:rPr>
          <w:spacing w:val="-1"/>
        </w:rPr>
        <w:t xml:space="preserve"> (sur la divulgation relative aux franchises) afin :</w:t>
      </w:r>
    </w:p>
    <w:p w:rsidR="00047FAE" w:rsidRDefault="00047FAE">
      <w:pPr>
        <w:spacing w:line="240" w:lineRule="exact"/>
        <w:rPr>
          <w:sz w:val="24"/>
          <w:szCs w:val="24"/>
        </w:rPr>
      </w:pPr>
    </w:p>
    <w:p w:rsidR="00047FAE" w:rsidRDefault="00F84E03" w:rsidP="00822DD4">
      <w:pPr>
        <w:pStyle w:val="BodyText"/>
        <w:numPr>
          <w:ilvl w:val="1"/>
          <w:numId w:val="28"/>
        </w:numPr>
        <w:tabs>
          <w:tab w:val="left" w:pos="1540"/>
        </w:tabs>
        <w:ind w:left="1540" w:right="117"/>
        <w:jc w:val="both"/>
      </w:pPr>
      <w:bookmarkStart w:id="17" w:name="(a)_clarify_the_types_of_intellectual_pr"/>
      <w:bookmarkEnd w:id="17"/>
      <w:r w:rsidRPr="00822DD4">
        <w:t xml:space="preserve">de </w:t>
      </w:r>
      <w:r w:rsidR="00844BC0" w:rsidRPr="00822DD4">
        <w:t xml:space="preserve">clarifier les types de propriété intellectuelle pouvant </w:t>
      </w:r>
      <w:r w:rsidR="00D545BE" w:rsidRPr="00822DD4">
        <w:t>servir de fondement</w:t>
      </w:r>
      <w:r w:rsidR="00744723" w:rsidRPr="00822DD4">
        <w:t xml:space="preserve"> à une franchise, et permettre le fait que le franchiseur peut être soit le </w:t>
      </w:r>
      <w:r w:rsidR="00265597" w:rsidRPr="00822DD4">
        <w:t xml:space="preserve">licencié, soit le propriétaire de </w:t>
      </w:r>
      <w:r w:rsidR="004F7AB8">
        <w:t>ladite</w:t>
      </w:r>
      <w:r w:rsidR="00265597" w:rsidRPr="00822DD4">
        <w:t xml:space="preserve"> propriété intellectuelle;</w:t>
      </w:r>
    </w:p>
    <w:p w:rsidR="00047FAE" w:rsidRDefault="00047FAE">
      <w:pPr>
        <w:spacing w:line="240" w:lineRule="exact"/>
        <w:rPr>
          <w:sz w:val="24"/>
          <w:szCs w:val="24"/>
        </w:rPr>
      </w:pPr>
    </w:p>
    <w:p w:rsidR="00047FAE" w:rsidRDefault="00265597" w:rsidP="00822DD4">
      <w:pPr>
        <w:pStyle w:val="BodyText"/>
        <w:numPr>
          <w:ilvl w:val="1"/>
          <w:numId w:val="28"/>
        </w:numPr>
        <w:tabs>
          <w:tab w:val="left" w:pos="1540"/>
        </w:tabs>
        <w:ind w:left="1540" w:right="120"/>
        <w:jc w:val="both"/>
      </w:pPr>
      <w:bookmarkStart w:id="18" w:name="(b)_ensure_that_franchisors_who_have_the"/>
      <w:bookmarkEnd w:id="18"/>
      <w:r w:rsidRPr="00822DD4">
        <w:t xml:space="preserve">d’assurer que les franchiseurs qui ont le droit d’exercer </w:t>
      </w:r>
      <w:r w:rsidR="00FB4497" w:rsidRPr="00822DD4">
        <w:t xml:space="preserve">un contrôle important sur le mode d’exploitation du franchisé ou de lui apporter une aide importante </w:t>
      </w:r>
      <w:r w:rsidR="00EF3B40" w:rsidRPr="00822DD4">
        <w:t>à cet égard</w:t>
      </w:r>
      <w:r w:rsidR="00FB4497" w:rsidRPr="00822DD4">
        <w:t xml:space="preserve"> ne sont pas exemptés de la LAW </w:t>
      </w:r>
      <w:r w:rsidR="00EF3B40" w:rsidRPr="00822DD4">
        <w:t>pour le seul motif d’avoir omis d’exercer ce droit; et</w:t>
      </w:r>
    </w:p>
    <w:p w:rsidR="00047FAE" w:rsidRDefault="00047FAE">
      <w:pPr>
        <w:spacing w:line="240" w:lineRule="exact"/>
        <w:rPr>
          <w:sz w:val="24"/>
          <w:szCs w:val="24"/>
        </w:rPr>
      </w:pPr>
    </w:p>
    <w:p w:rsidR="00047FAE" w:rsidRDefault="00EF3B40" w:rsidP="00BC3FD1">
      <w:pPr>
        <w:pStyle w:val="BodyText"/>
        <w:numPr>
          <w:ilvl w:val="1"/>
          <w:numId w:val="28"/>
        </w:numPr>
        <w:tabs>
          <w:tab w:val="left" w:pos="1540"/>
        </w:tabs>
        <w:ind w:left="1540" w:right="116"/>
        <w:jc w:val="both"/>
      </w:pPr>
      <w:bookmarkStart w:id="19" w:name="(c)_clarify_that_only_the_agreement_by_w"/>
      <w:bookmarkEnd w:id="19"/>
      <w:r w:rsidRPr="00BC3FD1">
        <w:t>d</w:t>
      </w:r>
      <w:r w:rsidR="00822DD4" w:rsidRPr="00BC3FD1">
        <w:t>’expliquer</w:t>
      </w:r>
      <w:r w:rsidRPr="00BC3FD1">
        <w:t xml:space="preserve"> </w:t>
      </w:r>
      <w:r w:rsidR="00152151" w:rsidRPr="00BC3FD1">
        <w:t>que seul le contrat en vertu duquel la franchise est réellement accordée (et non pas seulement en vertu d’un</w:t>
      </w:r>
      <w:r w:rsidR="008B6DC8" w:rsidRPr="00BC3FD1">
        <w:t>e mise de fonds</w:t>
      </w:r>
      <w:r w:rsidR="00152151" w:rsidRPr="00BC3FD1">
        <w:t>, d’une entente de confidentialité ou de toute autre entente a</w:t>
      </w:r>
      <w:r w:rsidR="00236C20" w:rsidRPr="00BC3FD1">
        <w:t>uxiliaire</w:t>
      </w:r>
      <w:r w:rsidR="00152151" w:rsidRPr="00BC3FD1">
        <w:t>)</w:t>
      </w:r>
      <w:r w:rsidR="00236C20" w:rsidRPr="00BC3FD1">
        <w:t xml:space="preserve"> </w:t>
      </w:r>
      <w:r w:rsidR="00EE3E85" w:rsidRPr="00BC3FD1">
        <w:t>peut</w:t>
      </w:r>
      <w:r w:rsidR="00236C20" w:rsidRPr="00BC3FD1">
        <w:t xml:space="preserve"> donner lieu à une obligation de divulgation de la part du franchiseur </w:t>
      </w:r>
      <w:r w:rsidR="00F647C9" w:rsidRPr="00BC3FD1">
        <w:t>(et à un outil de résolution éventuel à l'avantage du franchisé).</w:t>
      </w:r>
    </w:p>
    <w:p w:rsidR="00047FAE" w:rsidRDefault="00047FAE">
      <w:pPr>
        <w:spacing w:line="240" w:lineRule="exact"/>
        <w:rPr>
          <w:sz w:val="24"/>
          <w:szCs w:val="24"/>
        </w:rPr>
      </w:pPr>
    </w:p>
    <w:p w:rsidR="00047FAE" w:rsidRDefault="008C61F6" w:rsidP="00BD25D6">
      <w:pPr>
        <w:pStyle w:val="BodyText"/>
        <w:numPr>
          <w:ilvl w:val="0"/>
          <w:numId w:val="28"/>
        </w:numPr>
        <w:tabs>
          <w:tab w:val="left" w:pos="819"/>
        </w:tabs>
        <w:ind w:left="820" w:right="118"/>
        <w:jc w:val="both"/>
      </w:pPr>
      <w:bookmarkStart w:id="20" w:name="9._The_exemption_from_the_AWA_in_the_cas"/>
      <w:bookmarkEnd w:id="20"/>
      <w:r w:rsidRPr="00BD25D6">
        <w:rPr>
          <w:spacing w:val="2"/>
        </w:rPr>
        <w:t>Il y a également lieu de clarifier l’</w:t>
      </w:r>
      <w:r w:rsidRPr="00BD25D6">
        <w:t>e</w:t>
      </w:r>
      <w:r w:rsidRPr="00BD25D6">
        <w:rPr>
          <w:spacing w:val="-3"/>
        </w:rPr>
        <w:t>x</w:t>
      </w:r>
      <w:r w:rsidRPr="00BD25D6">
        <w:rPr>
          <w:spacing w:val="-2"/>
        </w:rPr>
        <w:t>e</w:t>
      </w:r>
      <w:r w:rsidRPr="00BD25D6">
        <w:rPr>
          <w:spacing w:val="1"/>
        </w:rPr>
        <w:t>m</w:t>
      </w:r>
      <w:r w:rsidRPr="00BD25D6">
        <w:t>pt</w:t>
      </w:r>
      <w:r w:rsidRPr="00BD25D6">
        <w:rPr>
          <w:spacing w:val="-1"/>
        </w:rPr>
        <w:t>i</w:t>
      </w:r>
      <w:r w:rsidRPr="00BD25D6">
        <w:rPr>
          <w:spacing w:val="-2"/>
        </w:rPr>
        <w:t>o</w:t>
      </w:r>
      <w:r w:rsidRPr="00BD25D6">
        <w:t xml:space="preserve">n de la LAW dans le cas d’une licence accordée par un </w:t>
      </w:r>
      <w:r w:rsidR="00591859" w:rsidRPr="00BD25D6">
        <w:t>concédant à un licenci</w:t>
      </w:r>
      <w:r w:rsidR="002675D0" w:rsidRPr="00BD25D6">
        <w:t xml:space="preserve">é unique en prenant soin d’énoncer la portée géographique </w:t>
      </w:r>
      <w:r w:rsidR="00417890" w:rsidRPr="00BD25D6">
        <w:t>appropriée</w:t>
      </w:r>
      <w:r w:rsidR="002675D0" w:rsidRPr="00BD25D6">
        <w:t xml:space="preserve"> de la licence au </w:t>
      </w:r>
      <w:r w:rsidR="002675D0" w:rsidRPr="00BD25D6">
        <w:rPr>
          <w:spacing w:val="-1"/>
        </w:rPr>
        <w:t>C</w:t>
      </w:r>
      <w:r w:rsidR="002675D0" w:rsidRPr="00BD25D6">
        <w:rPr>
          <w:spacing w:val="-2"/>
        </w:rPr>
        <w:t>a</w:t>
      </w:r>
      <w:r w:rsidR="002675D0" w:rsidRPr="00BD25D6">
        <w:t>na</w:t>
      </w:r>
      <w:r w:rsidR="002675D0" w:rsidRPr="00BD25D6">
        <w:rPr>
          <w:spacing w:val="-2"/>
        </w:rPr>
        <w:t>d</w:t>
      </w:r>
      <w:r w:rsidR="002675D0" w:rsidRPr="00BD25D6">
        <w:t>a.</w:t>
      </w:r>
    </w:p>
    <w:p w:rsidR="00047FAE" w:rsidRDefault="00047FAE">
      <w:pPr>
        <w:spacing w:line="240" w:lineRule="exact"/>
        <w:rPr>
          <w:sz w:val="24"/>
          <w:szCs w:val="24"/>
        </w:rPr>
      </w:pPr>
    </w:p>
    <w:p w:rsidR="00047FAE" w:rsidRDefault="003B0219" w:rsidP="00A964B9">
      <w:pPr>
        <w:pStyle w:val="BodyText"/>
        <w:numPr>
          <w:ilvl w:val="0"/>
          <w:numId w:val="28"/>
        </w:numPr>
        <w:tabs>
          <w:tab w:val="left" w:pos="819"/>
        </w:tabs>
        <w:ind w:left="820" w:right="115"/>
        <w:jc w:val="both"/>
      </w:pPr>
      <w:bookmarkStart w:id="21" w:name="10._U.S._GAAP_and_GAAS,_as_well_as_IFRS_"/>
      <w:bookmarkEnd w:id="21"/>
      <w:r w:rsidRPr="00A964B9">
        <w:rPr>
          <w:spacing w:val="-1"/>
        </w:rPr>
        <w:t xml:space="preserve">Les </w:t>
      </w:r>
      <w:r w:rsidR="00BD25D6" w:rsidRPr="00A964B9">
        <w:rPr>
          <w:spacing w:val="-1"/>
        </w:rPr>
        <w:t>PCGR et les NVGR des États-Unis</w:t>
      </w:r>
      <w:r w:rsidR="007309FF" w:rsidRPr="00A964B9">
        <w:rPr>
          <w:spacing w:val="23"/>
        </w:rPr>
        <w:t xml:space="preserve"> </w:t>
      </w:r>
      <w:r w:rsidR="00BD25D6" w:rsidRPr="00A964B9">
        <w:t>de même que les normes d’examen généralement reconnues par l’</w:t>
      </w:r>
      <w:r w:rsidR="00386E8E" w:rsidRPr="00A964B9">
        <w:t>I</w:t>
      </w:r>
      <w:r w:rsidR="00386E8E" w:rsidRPr="00A964B9">
        <w:rPr>
          <w:spacing w:val="-1"/>
        </w:rPr>
        <w:t>FR</w:t>
      </w:r>
      <w:r w:rsidR="00386E8E" w:rsidRPr="00A964B9">
        <w:t xml:space="preserve">S et </w:t>
      </w:r>
      <w:r w:rsidR="00BD25D6" w:rsidRPr="00A964B9">
        <w:t>l’</w:t>
      </w:r>
      <w:r w:rsidR="00386E8E" w:rsidRPr="00A964B9">
        <w:rPr>
          <w:spacing w:val="-2"/>
        </w:rPr>
        <w:t>I</w:t>
      </w:r>
      <w:r w:rsidR="00386E8E" w:rsidRPr="00A964B9">
        <w:t xml:space="preserve">AASB </w:t>
      </w:r>
      <w:r w:rsidR="00BD25D6" w:rsidRPr="00A964B9">
        <w:t>en matière de vérification et d’examen, telles qu’</w:t>
      </w:r>
      <w:r w:rsidR="00386E8E" w:rsidRPr="00A964B9">
        <w:t>adoptées par d’autres pays d</w:t>
      </w:r>
      <w:r w:rsidR="00BD25D6" w:rsidRPr="00A964B9">
        <w:t>evraient</w:t>
      </w:r>
      <w:r w:rsidR="00EF23D9" w:rsidRPr="00A964B9">
        <w:t xml:space="preserve"> être considérées comme des principe</w:t>
      </w:r>
      <w:r w:rsidR="00386E8E" w:rsidRPr="00A964B9">
        <w:t xml:space="preserve">s de préparation et de vérification </w:t>
      </w:r>
      <w:r w:rsidR="00BD25D6" w:rsidRPr="00A964B9">
        <w:t xml:space="preserve">ou d’examen </w:t>
      </w:r>
      <w:r w:rsidR="00386E8E" w:rsidRPr="00A964B9">
        <w:t xml:space="preserve">acceptables des états financiers devant </w:t>
      </w:r>
      <w:r w:rsidR="00BD25D6" w:rsidRPr="00A964B9">
        <w:t>faire partie d</w:t>
      </w:r>
      <w:r w:rsidR="007F092C" w:rsidRPr="00A964B9">
        <w:t>u</w:t>
      </w:r>
      <w:r w:rsidR="00386E8E" w:rsidRPr="00A964B9">
        <w:t xml:space="preserve"> </w:t>
      </w:r>
      <w:r w:rsidR="00386E8E" w:rsidRPr="00A964B9">
        <w:rPr>
          <w:spacing w:val="-2"/>
        </w:rPr>
        <w:t>d</w:t>
      </w:r>
      <w:r w:rsidR="00386E8E" w:rsidRPr="00A964B9">
        <w:t>oc</w:t>
      </w:r>
      <w:r w:rsidR="00386E8E" w:rsidRPr="00A964B9">
        <w:rPr>
          <w:spacing w:val="-2"/>
        </w:rPr>
        <w:t>u</w:t>
      </w:r>
      <w:r w:rsidR="00386E8E" w:rsidRPr="00A964B9">
        <w:rPr>
          <w:spacing w:val="1"/>
        </w:rPr>
        <w:t>m</w:t>
      </w:r>
      <w:r w:rsidR="00386E8E" w:rsidRPr="00A964B9">
        <w:rPr>
          <w:spacing w:val="-2"/>
        </w:rPr>
        <w:t>e</w:t>
      </w:r>
      <w:r w:rsidR="00386E8E" w:rsidRPr="00A964B9">
        <w:t>nt d</w:t>
      </w:r>
      <w:r w:rsidR="007F092C" w:rsidRPr="00A964B9">
        <w:t>’information</w:t>
      </w:r>
      <w:r w:rsidR="00386E8E" w:rsidRPr="00A964B9">
        <w:t xml:space="preserve"> </w:t>
      </w:r>
      <w:r w:rsidR="007F092C" w:rsidRPr="00A964B9">
        <w:t>fourni en vertu de l’article 5 (4) de la LAW.</w:t>
      </w:r>
    </w:p>
    <w:p w:rsidR="00047FAE" w:rsidRDefault="00047FAE">
      <w:pPr>
        <w:spacing w:line="240" w:lineRule="exact"/>
        <w:rPr>
          <w:sz w:val="24"/>
          <w:szCs w:val="24"/>
        </w:rPr>
      </w:pPr>
    </w:p>
    <w:p w:rsidR="00047FAE" w:rsidRDefault="007F092C" w:rsidP="00CB415A">
      <w:pPr>
        <w:pStyle w:val="BodyText"/>
        <w:numPr>
          <w:ilvl w:val="0"/>
          <w:numId w:val="28"/>
        </w:numPr>
        <w:tabs>
          <w:tab w:val="left" w:pos="819"/>
        </w:tabs>
        <w:ind w:left="820" w:right="118"/>
        <w:jc w:val="both"/>
      </w:pPr>
      <w:bookmarkStart w:id="22" w:name="11._A_Form_–_Certificate_of_Franchisor_s"/>
      <w:bookmarkEnd w:id="22"/>
      <w:r w:rsidRPr="00CB415A">
        <w:t xml:space="preserve">Il y aurait lieu d’ajouter un formulaire – Certificat du franchiseur concernant la déclaration </w:t>
      </w:r>
      <w:r w:rsidR="005E1E64">
        <w:t>de</w:t>
      </w:r>
      <w:r w:rsidRPr="00CB415A">
        <w:t xml:space="preserve"> changement important, déclaration qui doit être </w:t>
      </w:r>
      <w:r w:rsidR="00CB415A" w:rsidRPr="00CB415A">
        <w:t>faite</w:t>
      </w:r>
      <w:r w:rsidRPr="00CB415A">
        <w:t xml:space="preserve"> en vertu de l’article 5 (5) de la LAW.</w:t>
      </w:r>
    </w:p>
    <w:p w:rsidR="00047FAE" w:rsidRDefault="00047FAE">
      <w:pPr>
        <w:spacing w:line="240" w:lineRule="exact"/>
        <w:rPr>
          <w:sz w:val="24"/>
          <w:szCs w:val="24"/>
        </w:rPr>
      </w:pPr>
    </w:p>
    <w:p w:rsidR="00047FAE" w:rsidRDefault="00733492" w:rsidP="00627304">
      <w:pPr>
        <w:pStyle w:val="BodyText"/>
        <w:numPr>
          <w:ilvl w:val="0"/>
          <w:numId w:val="28"/>
        </w:numPr>
        <w:tabs>
          <w:tab w:val="left" w:pos="819"/>
        </w:tabs>
        <w:ind w:left="820" w:right="117"/>
        <w:jc w:val="both"/>
      </w:pPr>
      <w:bookmarkStart w:id="23" w:name="12._The_recommendations_of_the_Ontario_B"/>
      <w:bookmarkEnd w:id="23"/>
      <w:r w:rsidRPr="00627304">
        <w:rPr>
          <w:spacing w:val="2"/>
        </w:rPr>
        <w:t>Les recommandations de l’</w:t>
      </w:r>
      <w:r w:rsidRPr="00627304">
        <w:rPr>
          <w:spacing w:val="-2"/>
        </w:rPr>
        <w:t>A</w:t>
      </w:r>
      <w:r w:rsidRPr="00627304">
        <w:t>ssoc</w:t>
      </w:r>
      <w:r w:rsidRPr="00627304">
        <w:rPr>
          <w:spacing w:val="-1"/>
        </w:rPr>
        <w:t>i</w:t>
      </w:r>
      <w:r w:rsidRPr="00627304">
        <w:t>at</w:t>
      </w:r>
      <w:r w:rsidRPr="00627304">
        <w:rPr>
          <w:spacing w:val="-1"/>
        </w:rPr>
        <w:t>i</w:t>
      </w:r>
      <w:r w:rsidRPr="00627304">
        <w:t>on du Barreau de l’O</w:t>
      </w:r>
      <w:r w:rsidRPr="00627304">
        <w:rPr>
          <w:spacing w:val="-2"/>
        </w:rPr>
        <w:t>n</w:t>
      </w:r>
      <w:r w:rsidRPr="00627304">
        <w:t>ta</w:t>
      </w:r>
      <w:r w:rsidRPr="00627304">
        <w:rPr>
          <w:spacing w:val="-1"/>
        </w:rPr>
        <w:t>ri</w:t>
      </w:r>
      <w:r w:rsidRPr="00627304">
        <w:t>o devraien</w:t>
      </w:r>
      <w:r w:rsidR="00CB415A" w:rsidRPr="00627304">
        <w:t xml:space="preserve">t être adoptées dans le but : </w:t>
      </w:r>
      <w:r w:rsidRPr="00627304">
        <w:t xml:space="preserve">a) </w:t>
      </w:r>
      <w:r w:rsidR="00CB415A" w:rsidRPr="00627304">
        <w:t>d’expliquer</w:t>
      </w:r>
      <w:r w:rsidRPr="00627304">
        <w:t xml:space="preserve"> que l’ancienne e</w:t>
      </w:r>
      <w:r w:rsidRPr="00627304">
        <w:rPr>
          <w:spacing w:val="-3"/>
        </w:rPr>
        <w:t>x</w:t>
      </w:r>
      <w:r w:rsidRPr="00627304">
        <w:t>e</w:t>
      </w:r>
      <w:r w:rsidRPr="00627304">
        <w:rPr>
          <w:spacing w:val="-1"/>
        </w:rPr>
        <w:t>m</w:t>
      </w:r>
      <w:r w:rsidRPr="00627304">
        <w:rPr>
          <w:spacing w:val="-2"/>
        </w:rPr>
        <w:t>p</w:t>
      </w:r>
      <w:r w:rsidRPr="00627304">
        <w:t>t</w:t>
      </w:r>
      <w:r w:rsidRPr="00627304">
        <w:rPr>
          <w:spacing w:val="-1"/>
        </w:rPr>
        <w:t>i</w:t>
      </w:r>
      <w:r w:rsidR="008F0A94" w:rsidRPr="00627304">
        <w:t xml:space="preserve">on relative aux </w:t>
      </w:r>
      <w:r w:rsidRPr="00627304">
        <w:t>administrateurs et dirigeants cesse d’exister à la fin d’une période fixe, lorsque le franchisé</w:t>
      </w:r>
      <w:r w:rsidR="00627304" w:rsidRPr="00627304">
        <w:t xml:space="preserve"> éventuel</w:t>
      </w:r>
      <w:r w:rsidRPr="00627304">
        <w:t xml:space="preserve"> a cessé d’être administrateur ou dirigeant du franchiseur; et b)</w:t>
      </w:r>
      <w:r w:rsidR="00627304" w:rsidRPr="00627304">
        <w:t> </w:t>
      </w:r>
      <w:r w:rsidRPr="00627304">
        <w:t>de co</w:t>
      </w:r>
      <w:r w:rsidRPr="00627304">
        <w:rPr>
          <w:spacing w:val="-2"/>
        </w:rPr>
        <w:t>n</w:t>
      </w:r>
      <w:r w:rsidRPr="00627304">
        <w:rPr>
          <w:spacing w:val="2"/>
        </w:rPr>
        <w:t>f</w:t>
      </w:r>
      <w:r w:rsidRPr="00627304">
        <w:rPr>
          <w:spacing w:val="-1"/>
        </w:rPr>
        <w:t>ir</w:t>
      </w:r>
      <w:r w:rsidRPr="00627304">
        <w:t>mer que l’e</w:t>
      </w:r>
      <w:r w:rsidRPr="00627304">
        <w:rPr>
          <w:spacing w:val="-3"/>
        </w:rPr>
        <w:t>x</w:t>
      </w:r>
      <w:r w:rsidRPr="00627304">
        <w:t>e</w:t>
      </w:r>
      <w:r w:rsidRPr="00627304">
        <w:rPr>
          <w:spacing w:val="-1"/>
        </w:rPr>
        <w:t>m</w:t>
      </w:r>
      <w:r w:rsidRPr="00627304">
        <w:rPr>
          <w:spacing w:val="-2"/>
        </w:rPr>
        <w:t>p</w:t>
      </w:r>
      <w:r w:rsidRPr="00627304">
        <w:t>t</w:t>
      </w:r>
      <w:r w:rsidRPr="00627304">
        <w:rPr>
          <w:spacing w:val="-1"/>
        </w:rPr>
        <w:t>i</w:t>
      </w:r>
      <w:r w:rsidRPr="00627304">
        <w:t>on devrait également s’appliquer lorsque le franchisé éventuel est une société appartenant à la personne en question.</w:t>
      </w:r>
    </w:p>
    <w:p w:rsidR="00047FAE" w:rsidRDefault="00047FAE">
      <w:pPr>
        <w:spacing w:line="240" w:lineRule="exact"/>
        <w:rPr>
          <w:sz w:val="24"/>
          <w:szCs w:val="24"/>
        </w:rPr>
      </w:pPr>
    </w:p>
    <w:p w:rsidR="00047FAE" w:rsidRDefault="00733492" w:rsidP="00627304">
      <w:pPr>
        <w:pStyle w:val="BodyText"/>
        <w:numPr>
          <w:ilvl w:val="0"/>
          <w:numId w:val="28"/>
        </w:numPr>
        <w:tabs>
          <w:tab w:val="left" w:pos="819"/>
        </w:tabs>
        <w:ind w:left="820" w:right="118"/>
        <w:jc w:val="both"/>
      </w:pPr>
      <w:bookmarkStart w:id="24" w:name="13._The_fractional_franchise_disclosure_"/>
      <w:bookmarkEnd w:id="24"/>
      <w:r w:rsidRPr="00627304">
        <w:rPr>
          <w:spacing w:val="2"/>
        </w:rPr>
        <w:t>L’</w:t>
      </w:r>
      <w:r w:rsidRPr="00627304">
        <w:t>e</w:t>
      </w:r>
      <w:r w:rsidRPr="00627304">
        <w:rPr>
          <w:spacing w:val="-3"/>
        </w:rPr>
        <w:t>x</w:t>
      </w:r>
      <w:r w:rsidRPr="00627304">
        <w:rPr>
          <w:spacing w:val="-2"/>
        </w:rPr>
        <w:t>e</w:t>
      </w:r>
      <w:r w:rsidRPr="00627304">
        <w:rPr>
          <w:spacing w:val="1"/>
        </w:rPr>
        <w:t>m</w:t>
      </w:r>
      <w:r w:rsidRPr="00627304">
        <w:t>pt</w:t>
      </w:r>
      <w:r w:rsidRPr="00627304">
        <w:rPr>
          <w:spacing w:val="-1"/>
        </w:rPr>
        <w:t>i</w:t>
      </w:r>
      <w:r w:rsidRPr="00627304">
        <w:rPr>
          <w:spacing w:val="-2"/>
        </w:rPr>
        <w:t>o</w:t>
      </w:r>
      <w:r w:rsidRPr="00627304">
        <w:t xml:space="preserve">n </w:t>
      </w:r>
      <w:r w:rsidR="008B6DC8" w:rsidRPr="00627304">
        <w:t xml:space="preserve">fractionnaire </w:t>
      </w:r>
      <w:r w:rsidR="00627304" w:rsidRPr="00627304">
        <w:t xml:space="preserve">en matière </w:t>
      </w:r>
      <w:r w:rsidR="008B6DC8" w:rsidRPr="00627304">
        <w:t>de divulgation relative aux franchises devrait être mo</w:t>
      </w:r>
      <w:r w:rsidR="00627304" w:rsidRPr="00627304">
        <w:t>difiée afin de mentionner que la</w:t>
      </w:r>
      <w:r w:rsidR="008B6DC8" w:rsidRPr="00627304">
        <w:t xml:space="preserve"> </w:t>
      </w:r>
      <w:r w:rsidR="00627304" w:rsidRPr="00627304">
        <w:t>période</w:t>
      </w:r>
      <w:r w:rsidR="008B6DC8" w:rsidRPr="00627304">
        <w:t xml:space="preserve"> nécessaire à la mesure </w:t>
      </w:r>
      <w:r w:rsidR="00F61FFE" w:rsidRPr="00627304">
        <w:t>du</w:t>
      </w:r>
      <w:r w:rsidR="00627304" w:rsidRPr="00627304">
        <w:t xml:space="preserve"> pourcentage du </w:t>
      </w:r>
      <w:r w:rsidR="004F7AB8">
        <w:t>chiffre</w:t>
      </w:r>
      <w:r w:rsidR="00627304" w:rsidRPr="00627304">
        <w:t xml:space="preserve"> d’affaires prévu</w:t>
      </w:r>
      <w:r w:rsidR="008B6DC8" w:rsidRPr="00627304">
        <w:t xml:space="preserve"> aux fins de l’e</w:t>
      </w:r>
      <w:r w:rsidR="008B6DC8" w:rsidRPr="00627304">
        <w:rPr>
          <w:spacing w:val="-3"/>
        </w:rPr>
        <w:t>x</w:t>
      </w:r>
      <w:r w:rsidR="008B6DC8" w:rsidRPr="00627304">
        <w:rPr>
          <w:spacing w:val="-2"/>
        </w:rPr>
        <w:t>e</w:t>
      </w:r>
      <w:r w:rsidR="008B6DC8" w:rsidRPr="00627304">
        <w:rPr>
          <w:spacing w:val="1"/>
        </w:rPr>
        <w:t>m</w:t>
      </w:r>
      <w:r w:rsidR="008B6DC8" w:rsidRPr="00627304">
        <w:t>pt</w:t>
      </w:r>
      <w:r w:rsidR="008B6DC8" w:rsidRPr="00627304">
        <w:rPr>
          <w:spacing w:val="-1"/>
        </w:rPr>
        <w:t>i</w:t>
      </w:r>
      <w:r w:rsidR="008B6DC8" w:rsidRPr="00627304">
        <w:rPr>
          <w:spacing w:val="-2"/>
        </w:rPr>
        <w:t>o</w:t>
      </w:r>
      <w:r w:rsidR="008B6DC8" w:rsidRPr="00627304">
        <w:t>n correspond à la première année d’exploitation de la franchise.</w:t>
      </w:r>
    </w:p>
    <w:p w:rsidR="00D172C3" w:rsidRDefault="00D172C3" w:rsidP="00D172C3">
      <w:pPr>
        <w:pStyle w:val="ListParagraph"/>
      </w:pPr>
    </w:p>
    <w:p w:rsidR="00D172C3" w:rsidRDefault="00D172C3" w:rsidP="00D172C3">
      <w:pPr>
        <w:pStyle w:val="BodyText"/>
        <w:tabs>
          <w:tab w:val="left" w:pos="819"/>
        </w:tabs>
        <w:ind w:right="118"/>
        <w:jc w:val="both"/>
      </w:pPr>
    </w:p>
    <w:p w:rsidR="00D172C3" w:rsidRDefault="00D172C3" w:rsidP="00D172C3">
      <w:pPr>
        <w:pStyle w:val="BodyText"/>
        <w:tabs>
          <w:tab w:val="left" w:pos="819"/>
        </w:tabs>
        <w:ind w:right="118"/>
        <w:jc w:val="both"/>
      </w:pPr>
    </w:p>
    <w:p w:rsidR="00D172C3" w:rsidRDefault="00D172C3" w:rsidP="00D172C3">
      <w:pPr>
        <w:pStyle w:val="BodyText"/>
        <w:tabs>
          <w:tab w:val="left" w:pos="819"/>
        </w:tabs>
        <w:ind w:right="118"/>
        <w:jc w:val="both"/>
      </w:pPr>
    </w:p>
    <w:p w:rsidR="00047FAE" w:rsidRDefault="00047FAE">
      <w:pPr>
        <w:spacing w:line="240" w:lineRule="exact"/>
        <w:rPr>
          <w:sz w:val="24"/>
          <w:szCs w:val="24"/>
        </w:rPr>
      </w:pPr>
    </w:p>
    <w:p w:rsidR="00047FAE" w:rsidRDefault="008B6DC8" w:rsidP="00922748">
      <w:pPr>
        <w:pStyle w:val="BodyText"/>
        <w:numPr>
          <w:ilvl w:val="0"/>
          <w:numId w:val="28"/>
        </w:numPr>
        <w:tabs>
          <w:tab w:val="left" w:pos="819"/>
        </w:tabs>
        <w:ind w:left="820" w:right="116"/>
        <w:jc w:val="both"/>
      </w:pPr>
      <w:bookmarkStart w:id="25" w:name="14._The_De_Minimis_Investment_Disclosure"/>
      <w:bookmarkEnd w:id="25"/>
      <w:r w:rsidRPr="00922748">
        <w:rPr>
          <w:spacing w:val="2"/>
        </w:rPr>
        <w:t xml:space="preserve">Le </w:t>
      </w:r>
      <w:r w:rsidRPr="00922748">
        <w:t>c</w:t>
      </w:r>
      <w:r w:rsidRPr="00922748">
        <w:rPr>
          <w:spacing w:val="-2"/>
        </w:rPr>
        <w:t>o</w:t>
      </w:r>
      <w:r w:rsidRPr="00922748">
        <w:t>nc</w:t>
      </w:r>
      <w:r w:rsidRPr="00922748">
        <w:rPr>
          <w:spacing w:val="-2"/>
        </w:rPr>
        <w:t>e</w:t>
      </w:r>
      <w:r w:rsidRPr="00922748">
        <w:t xml:space="preserve">pt de l’exemption de divulgation </w:t>
      </w:r>
      <w:r w:rsidR="00992CA3" w:rsidRPr="00922748">
        <w:t>en matière d’</w:t>
      </w:r>
      <w:r w:rsidR="00F75B54" w:rsidRPr="00922748">
        <w:t xml:space="preserve">investissement </w:t>
      </w:r>
      <w:r w:rsidR="00F75B54" w:rsidRPr="00922748">
        <w:rPr>
          <w:i/>
        </w:rPr>
        <w:t>de minimis</w:t>
      </w:r>
      <w:r w:rsidR="00F75B54" w:rsidRPr="00922748">
        <w:t xml:space="preserve"> quant à l’« investissement annuel total » devrait être remplacé par le concept d</w:t>
      </w:r>
      <w:r w:rsidR="00F53753" w:rsidRPr="00922748">
        <w:t xml:space="preserve">’un </w:t>
      </w:r>
      <w:r w:rsidR="00F75B54" w:rsidRPr="00922748">
        <w:t>« investissemen</w:t>
      </w:r>
      <w:r w:rsidR="00922748" w:rsidRPr="00922748">
        <w:t>t initial » prévu par les entité</w:t>
      </w:r>
      <w:r w:rsidR="00F75B54" w:rsidRPr="00922748">
        <w:t>s au momen</w:t>
      </w:r>
      <w:r w:rsidR="00F53753" w:rsidRPr="00922748">
        <w:t>t</w:t>
      </w:r>
      <w:r w:rsidR="00F75B54" w:rsidRPr="00922748">
        <w:t xml:space="preserve"> de la conclusion du </w:t>
      </w:r>
      <w:r w:rsidR="005A117B">
        <w:t>contrat de franchisage</w:t>
      </w:r>
      <w:r w:rsidR="00F75B54" w:rsidRPr="00922748">
        <w:t xml:space="preserve"> afin de clarifier l’échéancier et la méthode de calcul du</w:t>
      </w:r>
      <w:r w:rsidR="00992CA3" w:rsidRPr="00922748">
        <w:t xml:space="preserve"> </w:t>
      </w:r>
      <w:r w:rsidR="00F75B54" w:rsidRPr="00922748">
        <w:t>montant d’investissement approprié aux fins de l’exemption.</w:t>
      </w:r>
    </w:p>
    <w:p w:rsidR="00047FAE" w:rsidRDefault="00047FAE">
      <w:pPr>
        <w:jc w:val="both"/>
      </w:pPr>
    </w:p>
    <w:p w:rsidR="00047FAE" w:rsidRPr="00922748" w:rsidRDefault="00992CA3" w:rsidP="00922748">
      <w:pPr>
        <w:pStyle w:val="BodyText"/>
        <w:numPr>
          <w:ilvl w:val="0"/>
          <w:numId w:val="28"/>
        </w:numPr>
        <w:tabs>
          <w:tab w:val="left" w:pos="819"/>
        </w:tabs>
        <w:spacing w:before="70" w:line="239" w:lineRule="auto"/>
        <w:ind w:left="820" w:right="118"/>
        <w:jc w:val="both"/>
        <w:rPr>
          <w:rFonts w:cs="Arial"/>
        </w:rPr>
      </w:pPr>
      <w:bookmarkStart w:id="26" w:name="15._The_Large_Investment_Disclosure_Exem"/>
      <w:bookmarkEnd w:id="26"/>
      <w:r w:rsidRPr="00922748">
        <w:rPr>
          <w:spacing w:val="2"/>
        </w:rPr>
        <w:t xml:space="preserve">L’exemption de divulgation en matière </w:t>
      </w:r>
      <w:r w:rsidR="003B0BE7" w:rsidRPr="00922748">
        <w:rPr>
          <w:spacing w:val="2"/>
        </w:rPr>
        <w:t xml:space="preserve">d’investissement important devrait être modifiée dans le but de rendre plus cohérentes l'exemption de divulgation en matière d'investissement important et l'exemption en matière d'investissement </w:t>
      </w:r>
      <w:r w:rsidR="003B0BE7" w:rsidRPr="00922748">
        <w:rPr>
          <w:i/>
          <w:spacing w:val="2"/>
        </w:rPr>
        <w:t>de minimis</w:t>
      </w:r>
      <w:r w:rsidR="003B0BE7" w:rsidRPr="00922748">
        <w:rPr>
          <w:spacing w:val="2"/>
        </w:rPr>
        <w:t>.</w:t>
      </w:r>
    </w:p>
    <w:p w:rsidR="00047FAE" w:rsidRDefault="00047FAE">
      <w:pPr>
        <w:spacing w:line="239" w:lineRule="auto"/>
        <w:jc w:val="both"/>
        <w:rPr>
          <w:rFonts w:ascii="Arial" w:eastAsia="Arial" w:hAnsi="Arial" w:cs="Arial"/>
        </w:rPr>
        <w:sectPr w:rsidR="00047FAE">
          <w:headerReference w:type="default" r:id="rId11"/>
          <w:pgSz w:w="12240" w:h="15840"/>
          <w:pgMar w:top="980" w:right="1320" w:bottom="920" w:left="1340" w:header="743" w:footer="731" w:gutter="0"/>
          <w:cols w:space="720"/>
        </w:sectPr>
      </w:pPr>
    </w:p>
    <w:p w:rsidR="00047FAE" w:rsidRDefault="00047FAE">
      <w:pPr>
        <w:spacing w:before="4" w:line="190" w:lineRule="exact"/>
        <w:rPr>
          <w:sz w:val="19"/>
          <w:szCs w:val="19"/>
        </w:rPr>
      </w:pPr>
    </w:p>
    <w:p w:rsidR="00047FAE" w:rsidRDefault="00047FAE">
      <w:pPr>
        <w:spacing w:line="200" w:lineRule="exact"/>
        <w:rPr>
          <w:sz w:val="20"/>
          <w:szCs w:val="20"/>
        </w:rPr>
      </w:pPr>
    </w:p>
    <w:p w:rsidR="00047FAE" w:rsidRDefault="003B0BE7" w:rsidP="00D172C3">
      <w:pPr>
        <w:pStyle w:val="Heading11"/>
        <w:ind w:right="2654"/>
        <w:jc w:val="both"/>
        <w:rPr>
          <w:b w:val="0"/>
          <w:bCs w:val="0"/>
        </w:rPr>
      </w:pPr>
      <w:bookmarkStart w:id="27" w:name="Business_Law_Advisory_Council"/>
      <w:bookmarkStart w:id="28" w:name="_bookmark2"/>
      <w:bookmarkEnd w:id="27"/>
      <w:bookmarkEnd w:id="28"/>
      <w:r w:rsidRPr="00922748">
        <w:t>Conseil consultatif en matière de droit des affaires de l’Ontario</w:t>
      </w:r>
    </w:p>
    <w:p w:rsidR="00047FAE" w:rsidRDefault="00047FAE">
      <w:pPr>
        <w:spacing w:before="10" w:line="150" w:lineRule="exact"/>
        <w:rPr>
          <w:sz w:val="15"/>
          <w:szCs w:val="15"/>
        </w:rPr>
      </w:pPr>
    </w:p>
    <w:p w:rsidR="00047FAE" w:rsidRDefault="00047FAE">
      <w:pPr>
        <w:spacing w:line="200" w:lineRule="exact"/>
        <w:rPr>
          <w:sz w:val="20"/>
          <w:szCs w:val="20"/>
        </w:rPr>
      </w:pPr>
    </w:p>
    <w:p w:rsidR="00047FAE" w:rsidRPr="00922748" w:rsidRDefault="003B0BE7" w:rsidP="00D172C3">
      <w:pPr>
        <w:numPr>
          <w:ilvl w:val="0"/>
          <w:numId w:val="27"/>
        </w:numPr>
        <w:tabs>
          <w:tab w:val="left" w:pos="1560"/>
        </w:tabs>
        <w:ind w:left="1560" w:right="4071"/>
        <w:jc w:val="both"/>
        <w:rPr>
          <w:rFonts w:ascii="Arial" w:eastAsia="Arial" w:hAnsi="Arial" w:cs="Arial"/>
          <w:sz w:val="24"/>
          <w:szCs w:val="24"/>
        </w:rPr>
      </w:pPr>
      <w:bookmarkStart w:id="29" w:name="1._BACKGROUND"/>
      <w:bookmarkStart w:id="30" w:name="_bookmark3"/>
      <w:bookmarkEnd w:id="29"/>
      <w:bookmarkEnd w:id="30"/>
      <w:r w:rsidRPr="00922748">
        <w:rPr>
          <w:rFonts w:ascii="Arial" w:eastAsia="Arial" w:hAnsi="Arial" w:cs="Arial"/>
          <w:b/>
          <w:bCs/>
          <w:spacing w:val="1"/>
          <w:sz w:val="24"/>
          <w:szCs w:val="24"/>
        </w:rPr>
        <w:t>RENSEIGNEMENTS GÉNÉRAUX</w:t>
      </w:r>
    </w:p>
    <w:p w:rsidR="00047FAE" w:rsidRDefault="00047FAE">
      <w:pPr>
        <w:spacing w:line="240" w:lineRule="exact"/>
        <w:rPr>
          <w:sz w:val="24"/>
          <w:szCs w:val="24"/>
        </w:rPr>
      </w:pPr>
    </w:p>
    <w:p w:rsidR="00047FAE" w:rsidRDefault="003B0BE7">
      <w:pPr>
        <w:pStyle w:val="BodyText"/>
        <w:ind w:right="115"/>
        <w:jc w:val="both"/>
      </w:pPr>
      <w:r w:rsidRPr="00922748">
        <w:rPr>
          <w:spacing w:val="2"/>
        </w:rPr>
        <w:t>Le gouvernement de l’</w:t>
      </w:r>
      <w:r w:rsidRPr="00922748">
        <w:rPr>
          <w:spacing w:val="-2"/>
        </w:rPr>
        <w:t>O</w:t>
      </w:r>
      <w:r w:rsidRPr="00922748">
        <w:t>nta</w:t>
      </w:r>
      <w:r w:rsidRPr="00922748">
        <w:rPr>
          <w:spacing w:val="-1"/>
        </w:rPr>
        <w:t>ri</w:t>
      </w:r>
      <w:r w:rsidRPr="00922748">
        <w:t xml:space="preserve">o a annoncé la formation du Conseil consultatif en matière de droit des affaires de l’Ontario le 2 mars </w:t>
      </w:r>
      <w:r w:rsidRPr="00922748">
        <w:rPr>
          <w:spacing w:val="-2"/>
        </w:rPr>
        <w:t>2</w:t>
      </w:r>
      <w:r w:rsidRPr="00922748">
        <w:t xml:space="preserve">016 </w:t>
      </w:r>
      <w:r w:rsidR="00456D69" w:rsidRPr="00922748">
        <w:t xml:space="preserve">dans la foulée des recommandations </w:t>
      </w:r>
      <w:r w:rsidR="007C77A4" w:rsidRPr="00922748">
        <w:t xml:space="preserve">figurant au </w:t>
      </w:r>
      <w:r w:rsidR="00456D69" w:rsidRPr="00922748">
        <w:t xml:space="preserve">rapport </w:t>
      </w:r>
      <w:r w:rsidR="007C77A4" w:rsidRPr="00922748">
        <w:t xml:space="preserve">du comité consultatif sur le droit des affaires, en date de juin </w:t>
      </w:r>
      <w:r w:rsidR="007C77A4" w:rsidRPr="00922748">
        <w:rPr>
          <w:spacing w:val="-2"/>
        </w:rPr>
        <w:t>2</w:t>
      </w:r>
      <w:r w:rsidR="007C77A4" w:rsidRPr="00922748">
        <w:t>015 (le rapport du comité).</w:t>
      </w:r>
      <w:r w:rsidR="007309FF">
        <w:rPr>
          <w:spacing w:val="27"/>
        </w:rPr>
        <w:t xml:space="preserve"> </w:t>
      </w:r>
      <w:r w:rsidR="00CA09F2" w:rsidRPr="00922748">
        <w:rPr>
          <w:spacing w:val="2"/>
        </w:rPr>
        <w:t>Le rapport du comité recommande un programme de réforme</w:t>
      </w:r>
      <w:r w:rsidR="00922748" w:rsidRPr="00922748">
        <w:rPr>
          <w:spacing w:val="2"/>
        </w:rPr>
        <w:t>s</w:t>
      </w:r>
      <w:r w:rsidR="00CA09F2" w:rsidRPr="00922748">
        <w:rPr>
          <w:spacing w:val="2"/>
        </w:rPr>
        <w:t xml:space="preserve"> visant à :</w:t>
      </w:r>
      <w:r w:rsidR="007309FF">
        <w:rPr>
          <w:spacing w:val="22"/>
        </w:rPr>
        <w:t xml:space="preserve"> </w:t>
      </w:r>
      <w:r w:rsidR="00CA09F2" w:rsidRPr="00922748">
        <w:t>positionner l’Onta</w:t>
      </w:r>
      <w:r w:rsidR="00CA09F2" w:rsidRPr="00922748">
        <w:rPr>
          <w:spacing w:val="-1"/>
        </w:rPr>
        <w:t>ri</w:t>
      </w:r>
      <w:r w:rsidR="00CA09F2" w:rsidRPr="00922748">
        <w:t xml:space="preserve">o comme lieu de premier plan </w:t>
      </w:r>
      <w:r w:rsidR="00922748" w:rsidRPr="00922748">
        <w:t xml:space="preserve">dans le milieu </w:t>
      </w:r>
      <w:r w:rsidR="00CA09F2" w:rsidRPr="00922748">
        <w:t>des affaires; favoriser l’</w:t>
      </w:r>
      <w:r w:rsidR="00CA09F2" w:rsidRPr="00922748">
        <w:rPr>
          <w:spacing w:val="-1"/>
        </w:rPr>
        <w:t>i</w:t>
      </w:r>
      <w:r w:rsidR="00CA09F2" w:rsidRPr="00922748">
        <w:t>nno</w:t>
      </w:r>
      <w:r w:rsidR="00CA09F2" w:rsidRPr="00922748">
        <w:rPr>
          <w:spacing w:val="-3"/>
        </w:rPr>
        <w:t>v</w:t>
      </w:r>
      <w:r w:rsidR="00CA09F2" w:rsidRPr="00922748">
        <w:t>at</w:t>
      </w:r>
      <w:r w:rsidR="00CA09F2" w:rsidRPr="00922748">
        <w:rPr>
          <w:spacing w:val="-1"/>
        </w:rPr>
        <w:t>i</w:t>
      </w:r>
      <w:r w:rsidR="00CA09F2" w:rsidRPr="00922748">
        <w:t>on et les investissements, la création d’emplois et la croissance économique;</w:t>
      </w:r>
      <w:r w:rsidR="00922748" w:rsidRPr="00922748">
        <w:t xml:space="preserve"> et</w:t>
      </w:r>
      <w:r w:rsidR="00CA09F2" w:rsidRPr="00922748">
        <w:t xml:space="preserve"> </w:t>
      </w:r>
      <w:r w:rsidR="008733EE" w:rsidRPr="00922748">
        <w:t>concourir à des cadres réglementaires r</w:t>
      </w:r>
      <w:r w:rsidR="001952F8" w:rsidRPr="00922748">
        <w:t>éactifs</w:t>
      </w:r>
      <w:r w:rsidR="008733EE" w:rsidRPr="00922748">
        <w:t>, souples et a</w:t>
      </w:r>
      <w:r w:rsidR="008733EE" w:rsidRPr="00922748">
        <w:rPr>
          <w:spacing w:val="-2"/>
        </w:rPr>
        <w:t>d</w:t>
      </w:r>
      <w:r w:rsidR="008733EE" w:rsidRPr="00922748">
        <w:t>ap</w:t>
      </w:r>
      <w:r w:rsidR="008733EE" w:rsidRPr="00922748">
        <w:rPr>
          <w:spacing w:val="-2"/>
        </w:rPr>
        <w:t>t</w:t>
      </w:r>
      <w:r w:rsidR="008733EE" w:rsidRPr="00922748">
        <w:t>ab</w:t>
      </w:r>
      <w:r w:rsidR="008733EE" w:rsidRPr="00922748">
        <w:rPr>
          <w:spacing w:val="-1"/>
        </w:rPr>
        <w:t>l</w:t>
      </w:r>
      <w:r w:rsidR="008733EE" w:rsidRPr="00922748">
        <w:t>es.</w:t>
      </w:r>
      <w:r w:rsidR="007309FF">
        <w:rPr>
          <w:spacing w:val="32"/>
        </w:rPr>
        <w:t xml:space="preserve"> </w:t>
      </w:r>
      <w:r w:rsidR="00BF3335" w:rsidRPr="008639EE">
        <w:t xml:space="preserve">Dans le cadre de l’établissement du Conseil, le gouvernement a remarqué que l’actualisation </w:t>
      </w:r>
      <w:r w:rsidR="00922748" w:rsidRPr="008639EE">
        <w:t xml:space="preserve">régulière </w:t>
      </w:r>
      <w:r w:rsidR="00BF3335" w:rsidRPr="008639EE">
        <w:t>des lois de l’O</w:t>
      </w:r>
      <w:r w:rsidR="00BF3335" w:rsidRPr="008639EE">
        <w:rPr>
          <w:spacing w:val="-2"/>
        </w:rPr>
        <w:t>nt</w:t>
      </w:r>
      <w:r w:rsidR="00BF3335" w:rsidRPr="008639EE">
        <w:t>a</w:t>
      </w:r>
      <w:r w:rsidR="00BF3335" w:rsidRPr="008639EE">
        <w:rPr>
          <w:spacing w:val="-1"/>
        </w:rPr>
        <w:t>ri</w:t>
      </w:r>
      <w:r w:rsidR="00BF3335" w:rsidRPr="008639EE">
        <w:t xml:space="preserve">o sur les sociétés et le commerce </w:t>
      </w:r>
      <w:r w:rsidR="00922748" w:rsidRPr="008639EE">
        <w:t xml:space="preserve">coïncide avec </w:t>
      </w:r>
      <w:r w:rsidR="007C778D" w:rsidRPr="008639EE">
        <w:t xml:space="preserve">un </w:t>
      </w:r>
      <w:r w:rsidR="00805362" w:rsidRPr="008639EE">
        <w:t xml:space="preserve">cadre </w:t>
      </w:r>
      <w:r w:rsidR="007C778D" w:rsidRPr="008639EE">
        <w:t xml:space="preserve">réglementaire souple </w:t>
      </w:r>
      <w:r w:rsidR="0025278A" w:rsidRPr="008639EE">
        <w:t xml:space="preserve">qui </w:t>
      </w:r>
      <w:r w:rsidR="008639EE" w:rsidRPr="008639EE">
        <w:t>se prête au maintien d’</w:t>
      </w:r>
      <w:r w:rsidR="007C778D" w:rsidRPr="008639EE">
        <w:t xml:space="preserve">un </w:t>
      </w:r>
      <w:r w:rsidR="0025278A" w:rsidRPr="008639EE">
        <w:t xml:space="preserve">climat </w:t>
      </w:r>
      <w:r w:rsidR="007C778D" w:rsidRPr="008639EE">
        <w:t>d’affaires</w:t>
      </w:r>
      <w:r w:rsidR="0025278A" w:rsidRPr="008639EE">
        <w:t xml:space="preserve"> d</w:t>
      </w:r>
      <w:r w:rsidR="0025278A" w:rsidRPr="008639EE">
        <w:rPr>
          <w:spacing w:val="-3"/>
        </w:rPr>
        <w:t>y</w:t>
      </w:r>
      <w:r w:rsidR="0025278A" w:rsidRPr="008639EE">
        <w:t>na</w:t>
      </w:r>
      <w:r w:rsidR="0025278A" w:rsidRPr="008639EE">
        <w:rPr>
          <w:spacing w:val="1"/>
        </w:rPr>
        <w:t>m</w:t>
      </w:r>
      <w:r w:rsidR="0025278A" w:rsidRPr="008639EE">
        <w:rPr>
          <w:spacing w:val="-1"/>
        </w:rPr>
        <w:t>i</w:t>
      </w:r>
      <w:r w:rsidR="0025278A" w:rsidRPr="008639EE">
        <w:t>que</w:t>
      </w:r>
      <w:r w:rsidR="007C778D" w:rsidRPr="008639EE">
        <w:t>, favorise</w:t>
      </w:r>
      <w:r w:rsidR="0025278A" w:rsidRPr="008639EE">
        <w:t xml:space="preserve"> une prospérité accrue, renforce l’avantage concurrentiel de l’O</w:t>
      </w:r>
      <w:r w:rsidR="0025278A" w:rsidRPr="008639EE">
        <w:rPr>
          <w:spacing w:val="-2"/>
        </w:rPr>
        <w:t>nt</w:t>
      </w:r>
      <w:r w:rsidR="0025278A" w:rsidRPr="008639EE">
        <w:t>a</w:t>
      </w:r>
      <w:r w:rsidR="0025278A" w:rsidRPr="008639EE">
        <w:rPr>
          <w:spacing w:val="-1"/>
        </w:rPr>
        <w:t>ri</w:t>
      </w:r>
      <w:r w:rsidR="0025278A" w:rsidRPr="008639EE">
        <w:t xml:space="preserve">o </w:t>
      </w:r>
      <w:r w:rsidR="007C778D" w:rsidRPr="008639EE">
        <w:t xml:space="preserve">dans une </w:t>
      </w:r>
      <w:r w:rsidR="0025278A" w:rsidRPr="008639EE">
        <w:t xml:space="preserve">économie mondiale et </w:t>
      </w:r>
      <w:r w:rsidR="007C778D" w:rsidRPr="008639EE">
        <w:t>fait de l</w:t>
      </w:r>
      <w:r w:rsidR="0025278A" w:rsidRPr="008639EE">
        <w:t>’O</w:t>
      </w:r>
      <w:r w:rsidR="0025278A" w:rsidRPr="008639EE">
        <w:rPr>
          <w:spacing w:val="-2"/>
        </w:rPr>
        <w:t>nt</w:t>
      </w:r>
      <w:r w:rsidR="0025278A" w:rsidRPr="008639EE">
        <w:t>a</w:t>
      </w:r>
      <w:r w:rsidR="0025278A" w:rsidRPr="008639EE">
        <w:rPr>
          <w:spacing w:val="-1"/>
        </w:rPr>
        <w:t>ri</w:t>
      </w:r>
      <w:r w:rsidR="0025278A" w:rsidRPr="008639EE">
        <w:t xml:space="preserve">o </w:t>
      </w:r>
      <w:r w:rsidR="007C778D" w:rsidRPr="008639EE">
        <w:t xml:space="preserve">la compétence prééminente en matière de </w:t>
      </w:r>
      <w:r w:rsidR="0025278A" w:rsidRPr="008639EE">
        <w:t>droit des affaires.</w:t>
      </w:r>
    </w:p>
    <w:p w:rsidR="00047FAE" w:rsidRDefault="00047FAE">
      <w:pPr>
        <w:spacing w:line="240" w:lineRule="exact"/>
        <w:rPr>
          <w:sz w:val="24"/>
          <w:szCs w:val="24"/>
        </w:rPr>
      </w:pPr>
    </w:p>
    <w:p w:rsidR="00047FAE" w:rsidRDefault="0025278A">
      <w:pPr>
        <w:pStyle w:val="BodyText"/>
        <w:ind w:right="117"/>
        <w:jc w:val="both"/>
      </w:pPr>
      <w:r w:rsidRPr="008639EE">
        <w:rPr>
          <w:spacing w:val="2"/>
        </w:rPr>
        <w:t xml:space="preserve">Le Conseil est composé de 11 </w:t>
      </w:r>
      <w:r w:rsidR="007C778D" w:rsidRPr="008639EE">
        <w:rPr>
          <w:spacing w:val="2"/>
        </w:rPr>
        <w:t>spécialistes</w:t>
      </w:r>
      <w:r w:rsidRPr="008639EE">
        <w:rPr>
          <w:spacing w:val="2"/>
        </w:rPr>
        <w:t xml:space="preserve"> en droit </w:t>
      </w:r>
      <w:r w:rsidR="007C778D" w:rsidRPr="008639EE">
        <w:rPr>
          <w:spacing w:val="2"/>
        </w:rPr>
        <w:t>des sociétés et du commerce (annexe A).</w:t>
      </w:r>
      <w:r w:rsidR="007309FF">
        <w:rPr>
          <w:spacing w:val="38"/>
        </w:rPr>
        <w:t xml:space="preserve"> </w:t>
      </w:r>
      <w:r w:rsidR="007C778D" w:rsidRPr="008639EE">
        <w:rPr>
          <w:spacing w:val="2"/>
        </w:rPr>
        <w:t>La présidente et le vice-président ont été nommé</w:t>
      </w:r>
      <w:r w:rsidR="008639EE" w:rsidRPr="008639EE">
        <w:rPr>
          <w:spacing w:val="2"/>
        </w:rPr>
        <w:t>s</w:t>
      </w:r>
      <w:r w:rsidR="007C778D" w:rsidRPr="008639EE">
        <w:rPr>
          <w:spacing w:val="2"/>
        </w:rPr>
        <w:t xml:space="preserve"> pour un mandat de trois ans.</w:t>
      </w:r>
      <w:r w:rsidR="007309FF">
        <w:rPr>
          <w:spacing w:val="11"/>
        </w:rPr>
        <w:t xml:space="preserve"> </w:t>
      </w:r>
      <w:r w:rsidR="007C778D" w:rsidRPr="003E7B86">
        <w:rPr>
          <w:spacing w:val="-1"/>
        </w:rPr>
        <w:t xml:space="preserve">Pour leur part, les autres membres du Conseil ont été nommés pour des mandats de 18 mois. Ils peuvent </w:t>
      </w:r>
      <w:r w:rsidR="008639EE" w:rsidRPr="003E7B86">
        <w:rPr>
          <w:spacing w:val="-1"/>
        </w:rPr>
        <w:t>être nommés une deuxième fois</w:t>
      </w:r>
      <w:r w:rsidR="007C778D" w:rsidRPr="003E7B86">
        <w:rPr>
          <w:spacing w:val="-1"/>
        </w:rPr>
        <w:t>, pour un service maximal de trois ans.</w:t>
      </w:r>
      <w:r w:rsidR="007309FF">
        <w:rPr>
          <w:spacing w:val="20"/>
        </w:rPr>
        <w:t xml:space="preserve"> </w:t>
      </w:r>
      <w:r w:rsidR="007C778D" w:rsidRPr="003E7B86">
        <w:rPr>
          <w:spacing w:val="-1"/>
        </w:rPr>
        <w:t>Le fonctionnement du Conseil est conforme au cadre de référence (annexe B) préparé par le gouvernement et adopté par le Conseil.</w:t>
      </w:r>
      <w:r w:rsidR="007309FF">
        <w:rPr>
          <w:spacing w:val="7"/>
        </w:rPr>
        <w:t xml:space="preserve"> </w:t>
      </w:r>
      <w:r w:rsidR="007C778D" w:rsidRPr="003E7B86">
        <w:t>Son m</w:t>
      </w:r>
      <w:r w:rsidR="00E61990" w:rsidRPr="003E7B86">
        <w:t xml:space="preserve">andat </w:t>
      </w:r>
      <w:r w:rsidR="003E7B86" w:rsidRPr="003E7B86">
        <w:t>touch</w:t>
      </w:r>
      <w:r w:rsidR="00E61990" w:rsidRPr="003E7B86">
        <w:t xml:space="preserve">e 19 lois qui relèvent du ministère des Services gouvernementaux et des Services aux consommateurs (annexe C) de même que la révision de lois sur les sociétés et le commerce relevant du ministère du Procureur général et du ministère des </w:t>
      </w:r>
      <w:r w:rsidR="00E61990" w:rsidRPr="003E7B86">
        <w:rPr>
          <w:spacing w:val="-1"/>
        </w:rPr>
        <w:t>Fi</w:t>
      </w:r>
      <w:r w:rsidR="00E61990" w:rsidRPr="003E7B86">
        <w:t>nan</w:t>
      </w:r>
      <w:r w:rsidR="00E61990" w:rsidRPr="003E7B86">
        <w:rPr>
          <w:spacing w:val="-3"/>
        </w:rPr>
        <w:t>c</w:t>
      </w:r>
      <w:r w:rsidR="00E61990" w:rsidRPr="003E7B86">
        <w:t>es.</w:t>
      </w:r>
    </w:p>
    <w:p w:rsidR="00047FAE" w:rsidRDefault="00047FAE">
      <w:pPr>
        <w:spacing w:line="240" w:lineRule="exact"/>
        <w:rPr>
          <w:sz w:val="24"/>
          <w:szCs w:val="24"/>
        </w:rPr>
      </w:pPr>
    </w:p>
    <w:p w:rsidR="00047FAE" w:rsidRPr="003E7B86" w:rsidRDefault="00E61990" w:rsidP="00D172C3">
      <w:pPr>
        <w:pStyle w:val="Heading21"/>
        <w:numPr>
          <w:ilvl w:val="0"/>
          <w:numId w:val="27"/>
        </w:numPr>
        <w:tabs>
          <w:tab w:val="left" w:pos="1560"/>
        </w:tabs>
        <w:ind w:left="1560" w:right="953"/>
        <w:jc w:val="both"/>
        <w:rPr>
          <w:b w:val="0"/>
          <w:bCs w:val="0"/>
        </w:rPr>
      </w:pPr>
      <w:bookmarkStart w:id="31" w:name="2._WORK_OF_THE_COUNCIL_TO_DATE"/>
      <w:bookmarkStart w:id="32" w:name="_bookmark4"/>
      <w:bookmarkEnd w:id="31"/>
      <w:bookmarkEnd w:id="32"/>
      <w:r w:rsidRPr="003E7B86">
        <w:rPr>
          <w:spacing w:val="1"/>
        </w:rPr>
        <w:t>TRAVA</w:t>
      </w:r>
      <w:r w:rsidR="003E7B86" w:rsidRPr="003E7B86">
        <w:rPr>
          <w:spacing w:val="1"/>
        </w:rPr>
        <w:t>IL</w:t>
      </w:r>
      <w:r w:rsidRPr="003E7B86">
        <w:rPr>
          <w:spacing w:val="1"/>
        </w:rPr>
        <w:t xml:space="preserve"> RÉALISÉ PAR LE CONSEIL JUSQU’À MAINTENANT</w:t>
      </w:r>
    </w:p>
    <w:p w:rsidR="00047FAE" w:rsidRDefault="00047FAE">
      <w:pPr>
        <w:spacing w:line="240" w:lineRule="exact"/>
        <w:rPr>
          <w:sz w:val="24"/>
          <w:szCs w:val="24"/>
        </w:rPr>
      </w:pPr>
    </w:p>
    <w:p w:rsidR="00047FAE" w:rsidRDefault="00E61990">
      <w:pPr>
        <w:pStyle w:val="BodyText"/>
        <w:ind w:right="117"/>
        <w:jc w:val="both"/>
      </w:pPr>
      <w:r w:rsidRPr="003E7B86">
        <w:rPr>
          <w:spacing w:val="2"/>
        </w:rPr>
        <w:t>Le Conseil a formé trois groupes de travail :</w:t>
      </w:r>
      <w:r w:rsidR="007309FF">
        <w:rPr>
          <w:spacing w:val="11"/>
        </w:rPr>
        <w:t xml:space="preserve"> </w:t>
      </w:r>
      <w:r w:rsidR="00CA3C52" w:rsidRPr="003E7B86">
        <w:t>le groupe de tr</w:t>
      </w:r>
      <w:r w:rsidR="009A45BD" w:rsidRPr="003E7B86">
        <w:t>a</w:t>
      </w:r>
      <w:r w:rsidR="00CA3C52" w:rsidRPr="003E7B86">
        <w:t xml:space="preserve">vail </w:t>
      </w:r>
      <w:r w:rsidR="00D63FD9" w:rsidRPr="003E7B86">
        <w:t xml:space="preserve">sur le droit commercial, le groupe de travail sur le droit </w:t>
      </w:r>
      <w:r w:rsidR="006D279D" w:rsidRPr="003E7B86">
        <w:t>des enti</w:t>
      </w:r>
      <w:r w:rsidR="00D72439" w:rsidRPr="003E7B86">
        <w:t>t</w:t>
      </w:r>
      <w:r w:rsidR="006D279D" w:rsidRPr="003E7B86">
        <w:t>és et le groupe de travail sur le droit des franchises.</w:t>
      </w:r>
      <w:r w:rsidR="007309FF">
        <w:rPr>
          <w:spacing w:val="21"/>
        </w:rPr>
        <w:t xml:space="preserve"> </w:t>
      </w:r>
      <w:r w:rsidR="006D279D" w:rsidRPr="003E7B86">
        <w:rPr>
          <w:spacing w:val="2"/>
        </w:rPr>
        <w:t xml:space="preserve">La composition de chacun de ces groupes de travail </w:t>
      </w:r>
      <w:r w:rsidR="003E7B86" w:rsidRPr="003E7B86">
        <w:rPr>
          <w:spacing w:val="2"/>
        </w:rPr>
        <w:t>figure</w:t>
      </w:r>
      <w:r w:rsidR="006D279D" w:rsidRPr="003E7B86">
        <w:rPr>
          <w:spacing w:val="2"/>
        </w:rPr>
        <w:t xml:space="preserve"> à l’annexe D. Les trois groupes ont fait des rapports réguliers au Conseil et les recommandations de ces groupes de travail ont été approuvées par le Conseil. </w:t>
      </w:r>
    </w:p>
    <w:p w:rsidR="00047FAE" w:rsidRDefault="00047FAE">
      <w:pPr>
        <w:spacing w:line="240" w:lineRule="exact"/>
        <w:rPr>
          <w:sz w:val="24"/>
          <w:szCs w:val="24"/>
        </w:rPr>
      </w:pPr>
    </w:p>
    <w:p w:rsidR="00047FAE" w:rsidRDefault="006D279D">
      <w:pPr>
        <w:pStyle w:val="BodyText"/>
        <w:ind w:right="115"/>
        <w:jc w:val="both"/>
      </w:pPr>
      <w:r w:rsidRPr="000278E7">
        <w:rPr>
          <w:spacing w:val="2"/>
        </w:rPr>
        <w:t xml:space="preserve">Le membres du Conseil se sont </w:t>
      </w:r>
      <w:r w:rsidR="004F7AB8">
        <w:rPr>
          <w:spacing w:val="2"/>
        </w:rPr>
        <w:t>réuni</w:t>
      </w:r>
      <w:r w:rsidRPr="000278E7">
        <w:rPr>
          <w:spacing w:val="2"/>
        </w:rPr>
        <w:t xml:space="preserve"> à six reprises du 2 mars au 30 septembre </w:t>
      </w:r>
      <w:r w:rsidRPr="000278E7">
        <w:t>20</w:t>
      </w:r>
      <w:r w:rsidRPr="000278E7">
        <w:rPr>
          <w:spacing w:val="-2"/>
        </w:rPr>
        <w:t>1</w:t>
      </w:r>
      <w:r w:rsidRPr="000278E7">
        <w:t xml:space="preserve">6. Ils ont </w:t>
      </w:r>
      <w:r w:rsidR="000278E7" w:rsidRPr="000278E7">
        <w:t xml:space="preserve">également </w:t>
      </w:r>
      <w:r w:rsidRPr="000278E7">
        <w:t xml:space="preserve">rencontré de nombreuses </w:t>
      </w:r>
      <w:r w:rsidR="00B578B2" w:rsidRPr="000278E7">
        <w:t xml:space="preserve">organisations </w:t>
      </w:r>
      <w:r w:rsidR="000278E7" w:rsidRPr="000278E7">
        <w:t>d</w:t>
      </w:r>
      <w:r w:rsidR="00B578B2" w:rsidRPr="000278E7">
        <w:t xml:space="preserve">ont </w:t>
      </w:r>
      <w:r w:rsidR="000278E7" w:rsidRPr="000278E7">
        <w:t>les champs d’intérêt s’apparente</w:t>
      </w:r>
      <w:r w:rsidR="00B578B2" w:rsidRPr="000278E7">
        <w:t>nt à son mandat (annexe E) et ont communiqué avec plusieurs autres parties prenantes pour leur présenter le Conseil, leur faire part de son mandat et solliciter leur</w:t>
      </w:r>
      <w:r w:rsidR="000278E7" w:rsidRPr="000278E7">
        <w:t xml:space="preserve"> rétroaction</w:t>
      </w:r>
      <w:r w:rsidR="00B578B2" w:rsidRPr="000278E7">
        <w:t>.</w:t>
      </w:r>
    </w:p>
    <w:p w:rsidR="00047FAE" w:rsidRDefault="00047FAE">
      <w:pPr>
        <w:spacing w:line="240" w:lineRule="exact"/>
        <w:rPr>
          <w:sz w:val="24"/>
          <w:szCs w:val="24"/>
        </w:rPr>
      </w:pPr>
    </w:p>
    <w:p w:rsidR="00047FAE" w:rsidRDefault="00585C26">
      <w:pPr>
        <w:pStyle w:val="BodyText"/>
        <w:ind w:right="117"/>
        <w:jc w:val="both"/>
      </w:pPr>
      <w:r w:rsidRPr="00692EF7">
        <w:t>Un</w:t>
      </w:r>
      <w:r w:rsidR="00B578B2" w:rsidRPr="00692EF7">
        <w:t xml:space="preserve"> premi</w:t>
      </w:r>
      <w:r w:rsidRPr="00692EF7">
        <w:t xml:space="preserve">er jet </w:t>
      </w:r>
      <w:r w:rsidR="00B578B2" w:rsidRPr="00692EF7">
        <w:t>de ce rapport a été présenté à un comité à des fins de révision. Ce comité était composé d</w:t>
      </w:r>
      <w:r w:rsidR="00954391" w:rsidRPr="00692EF7">
        <w:t>e</w:t>
      </w:r>
      <w:r w:rsidR="00DA2AE1" w:rsidRPr="00692EF7">
        <w:t>s</w:t>
      </w:r>
      <w:r w:rsidR="00954391" w:rsidRPr="00692EF7">
        <w:t xml:space="preserve"> sous-ministres adjoints du ministère du Procureur général, </w:t>
      </w:r>
      <w:r w:rsidR="00DA2AE1" w:rsidRPr="00692EF7">
        <w:t xml:space="preserve">du ministère </w:t>
      </w:r>
      <w:r w:rsidR="00954391" w:rsidRPr="00692EF7">
        <w:t>de</w:t>
      </w:r>
      <w:r w:rsidR="00DA2AE1" w:rsidRPr="00692EF7">
        <w:t>s SGSC</w:t>
      </w:r>
      <w:r w:rsidR="00954391" w:rsidRPr="00692EF7">
        <w:t xml:space="preserve"> </w:t>
      </w:r>
      <w:r w:rsidR="00DA2AE1" w:rsidRPr="00692EF7">
        <w:t>et du ministère des Finances qui sont responsables de la c</w:t>
      </w:r>
      <w:r w:rsidR="00DA2AE1" w:rsidRPr="00692EF7">
        <w:rPr>
          <w:spacing w:val="-2"/>
        </w:rPr>
        <w:t>o</w:t>
      </w:r>
      <w:r w:rsidR="00DA2AE1" w:rsidRPr="00692EF7">
        <w:t>nsu</w:t>
      </w:r>
      <w:r w:rsidR="00DA2AE1" w:rsidRPr="00692EF7">
        <w:rPr>
          <w:spacing w:val="-1"/>
        </w:rPr>
        <w:t>l</w:t>
      </w:r>
      <w:r w:rsidR="00DA2AE1" w:rsidRPr="00692EF7">
        <w:rPr>
          <w:spacing w:val="-2"/>
        </w:rPr>
        <w:t>t</w:t>
      </w:r>
      <w:r w:rsidR="00DA2AE1" w:rsidRPr="00692EF7">
        <w:t>at</w:t>
      </w:r>
      <w:r w:rsidR="00DA2AE1" w:rsidRPr="00692EF7">
        <w:rPr>
          <w:spacing w:val="-3"/>
        </w:rPr>
        <w:t>i</w:t>
      </w:r>
      <w:r w:rsidR="00DA2AE1" w:rsidRPr="00692EF7">
        <w:t>on au sujet du rapport au sein du gouvernement.</w:t>
      </w:r>
      <w:r w:rsidR="007309FF">
        <w:t xml:space="preserve"> </w:t>
      </w:r>
      <w:r w:rsidR="00DA2AE1" w:rsidRPr="00692EF7">
        <w:rPr>
          <w:spacing w:val="-1"/>
        </w:rPr>
        <w:t xml:space="preserve">À l’issue de cette </w:t>
      </w:r>
      <w:r w:rsidR="00DA2AE1" w:rsidRPr="00692EF7">
        <w:t>consu</w:t>
      </w:r>
      <w:r w:rsidR="00DA2AE1" w:rsidRPr="00692EF7">
        <w:rPr>
          <w:spacing w:val="-1"/>
        </w:rPr>
        <w:t>l</w:t>
      </w:r>
      <w:r w:rsidR="00DA2AE1" w:rsidRPr="00692EF7">
        <w:rPr>
          <w:spacing w:val="-2"/>
        </w:rPr>
        <w:t>ta</w:t>
      </w:r>
      <w:r w:rsidR="00DA2AE1" w:rsidRPr="00692EF7">
        <w:t>t</w:t>
      </w:r>
      <w:r w:rsidR="00DA2AE1" w:rsidRPr="00692EF7">
        <w:rPr>
          <w:spacing w:val="-1"/>
        </w:rPr>
        <w:t>i</w:t>
      </w:r>
      <w:r w:rsidR="00DA2AE1" w:rsidRPr="00692EF7">
        <w:t>on, le gouvernement a donné sa rétroaction au Conseil.</w:t>
      </w:r>
    </w:p>
    <w:p w:rsidR="00047FAE" w:rsidRDefault="00047FAE">
      <w:pPr>
        <w:jc w:val="both"/>
        <w:sectPr w:rsidR="00047FAE">
          <w:pgSz w:w="12240" w:h="15840"/>
          <w:pgMar w:top="980" w:right="1320" w:bottom="920" w:left="1320" w:header="743" w:footer="731" w:gutter="0"/>
          <w:cols w:space="720"/>
        </w:sectPr>
      </w:pPr>
    </w:p>
    <w:p w:rsidR="00047FAE" w:rsidRDefault="00047FAE">
      <w:pPr>
        <w:spacing w:before="4" w:line="190" w:lineRule="exact"/>
        <w:rPr>
          <w:sz w:val="19"/>
          <w:szCs w:val="19"/>
        </w:rPr>
      </w:pPr>
    </w:p>
    <w:p w:rsidR="00047FAE" w:rsidRDefault="00047FAE">
      <w:pPr>
        <w:spacing w:line="200" w:lineRule="exact"/>
        <w:rPr>
          <w:sz w:val="20"/>
          <w:szCs w:val="20"/>
        </w:rPr>
      </w:pPr>
    </w:p>
    <w:p w:rsidR="00047FAE" w:rsidRDefault="00DA2AE1" w:rsidP="00D172C3">
      <w:pPr>
        <w:pStyle w:val="Heading11"/>
        <w:ind w:right="2654"/>
        <w:jc w:val="both"/>
        <w:rPr>
          <w:b w:val="0"/>
          <w:bCs w:val="0"/>
        </w:rPr>
      </w:pPr>
      <w:bookmarkStart w:id="33" w:name="Fall_2016_Recommendations"/>
      <w:bookmarkStart w:id="34" w:name="_bookmark5"/>
      <w:bookmarkEnd w:id="33"/>
      <w:bookmarkEnd w:id="34"/>
      <w:r w:rsidRPr="00692EF7">
        <w:rPr>
          <w:spacing w:val="-1"/>
        </w:rPr>
        <w:t xml:space="preserve">Recommandations de l’automne </w:t>
      </w:r>
      <w:r w:rsidRPr="00692EF7">
        <w:t>2016</w:t>
      </w:r>
    </w:p>
    <w:p w:rsidR="00047FAE" w:rsidRDefault="00047FAE">
      <w:pPr>
        <w:spacing w:before="20" w:line="220" w:lineRule="exact"/>
      </w:pPr>
    </w:p>
    <w:p w:rsidR="00047FAE" w:rsidRDefault="00DA2AE1">
      <w:pPr>
        <w:pStyle w:val="BodyText"/>
        <w:ind w:right="117"/>
        <w:jc w:val="both"/>
      </w:pPr>
      <w:r w:rsidRPr="00CC5D72">
        <w:rPr>
          <w:spacing w:val="2"/>
        </w:rPr>
        <w:t xml:space="preserve">Le Conseil recommande au gouvernement d’apporter des modifications à la </w:t>
      </w:r>
      <w:r w:rsidRPr="00CC5D72">
        <w:rPr>
          <w:i/>
          <w:spacing w:val="2"/>
        </w:rPr>
        <w:t xml:space="preserve">Loi sur les sociétés par actions </w:t>
      </w:r>
      <w:r w:rsidRPr="00CC5D72">
        <w:rPr>
          <w:spacing w:val="2"/>
        </w:rPr>
        <w:t xml:space="preserve">(la LSAO), à la </w:t>
      </w:r>
      <w:r w:rsidRPr="00CC5D72">
        <w:rPr>
          <w:i/>
          <w:spacing w:val="2"/>
        </w:rPr>
        <w:t xml:space="preserve">Loi sur les sûretés mobilières </w:t>
      </w:r>
      <w:r w:rsidRPr="00CC5D72">
        <w:rPr>
          <w:spacing w:val="2"/>
        </w:rPr>
        <w:t xml:space="preserve">(la LSM), à la </w:t>
      </w:r>
      <w:r w:rsidRPr="00CC5D72">
        <w:rPr>
          <w:i/>
          <w:spacing w:val="2"/>
        </w:rPr>
        <w:t xml:space="preserve">Loi sur le privilège des réparateurs et des entreposeurs </w:t>
      </w:r>
      <w:r w:rsidRPr="00CC5D72">
        <w:rPr>
          <w:spacing w:val="2"/>
        </w:rPr>
        <w:t xml:space="preserve">(la LPRE) et à la </w:t>
      </w:r>
      <w:r w:rsidRPr="00CC5D72">
        <w:rPr>
          <w:i/>
          <w:spacing w:val="2"/>
        </w:rPr>
        <w:t>Loi Arthur Wishart</w:t>
      </w:r>
      <w:r w:rsidRPr="00CC5D72">
        <w:rPr>
          <w:spacing w:val="2"/>
        </w:rPr>
        <w:t xml:space="preserve"> (</w:t>
      </w:r>
      <w:r w:rsidR="00692EF7" w:rsidRPr="00CC5D72">
        <w:rPr>
          <w:spacing w:val="2"/>
        </w:rPr>
        <w:t xml:space="preserve">la </w:t>
      </w:r>
      <w:r w:rsidRPr="00CC5D72">
        <w:rPr>
          <w:spacing w:val="2"/>
        </w:rPr>
        <w:t>LAW).</w:t>
      </w:r>
    </w:p>
    <w:p w:rsidR="00047FAE" w:rsidRDefault="00047FAE">
      <w:pPr>
        <w:spacing w:line="240" w:lineRule="exact"/>
        <w:rPr>
          <w:sz w:val="24"/>
          <w:szCs w:val="24"/>
        </w:rPr>
      </w:pPr>
    </w:p>
    <w:p w:rsidR="00047FAE" w:rsidRPr="00CC5D72" w:rsidRDefault="00DA2AE1" w:rsidP="00CC5D72">
      <w:pPr>
        <w:numPr>
          <w:ilvl w:val="0"/>
          <w:numId w:val="26"/>
        </w:numPr>
        <w:tabs>
          <w:tab w:val="left" w:pos="840"/>
        </w:tabs>
        <w:ind w:left="840" w:right="1543"/>
        <w:jc w:val="both"/>
        <w:rPr>
          <w:rFonts w:ascii="Arial" w:eastAsia="Arial" w:hAnsi="Arial" w:cs="Arial"/>
          <w:sz w:val="24"/>
          <w:szCs w:val="24"/>
        </w:rPr>
      </w:pPr>
      <w:bookmarkStart w:id="35" w:name="1._Elimination_of_Residency_Requirements"/>
      <w:bookmarkEnd w:id="35"/>
      <w:r w:rsidRPr="00CC5D72">
        <w:rPr>
          <w:rFonts w:ascii="Arial" w:eastAsia="Arial" w:hAnsi="Arial" w:cs="Arial"/>
          <w:b/>
          <w:bCs/>
          <w:sz w:val="24"/>
          <w:szCs w:val="24"/>
        </w:rPr>
        <w:t>Élimination des exigences ayant trait au lieu de résidence des membr</w:t>
      </w:r>
      <w:r w:rsidR="00CC5D72" w:rsidRPr="00CC5D72">
        <w:rPr>
          <w:rFonts w:ascii="Arial" w:eastAsia="Arial" w:hAnsi="Arial" w:cs="Arial"/>
          <w:b/>
          <w:bCs/>
          <w:sz w:val="24"/>
          <w:szCs w:val="24"/>
        </w:rPr>
        <w:t>es de conseils d’administration</w:t>
      </w:r>
    </w:p>
    <w:p w:rsidR="00047FAE" w:rsidRDefault="00047FAE">
      <w:pPr>
        <w:spacing w:line="240" w:lineRule="exact"/>
        <w:rPr>
          <w:sz w:val="24"/>
          <w:szCs w:val="24"/>
        </w:rPr>
      </w:pPr>
    </w:p>
    <w:p w:rsidR="00047FAE" w:rsidRDefault="00DA2AE1">
      <w:pPr>
        <w:ind w:left="120" w:right="117"/>
        <w:jc w:val="both"/>
        <w:rPr>
          <w:rFonts w:ascii="Arial" w:eastAsia="Arial" w:hAnsi="Arial" w:cs="Arial"/>
          <w:sz w:val="24"/>
          <w:szCs w:val="24"/>
        </w:rPr>
      </w:pPr>
      <w:r w:rsidRPr="00CC5D72">
        <w:rPr>
          <w:rFonts w:ascii="Arial" w:eastAsia="Arial" w:hAnsi="Arial" w:cs="Arial"/>
          <w:b/>
          <w:bCs/>
          <w:spacing w:val="1"/>
          <w:sz w:val="24"/>
          <w:szCs w:val="24"/>
        </w:rPr>
        <w:t>Nous recommandons que l’exigence actuelle en vertu de la LSAO voulant que 25 pour cent des administrateurs soient résidents canadiens soit éliminée.</w:t>
      </w:r>
      <w:r w:rsidR="007309FF">
        <w:rPr>
          <w:rFonts w:ascii="Arial" w:eastAsia="Arial" w:hAnsi="Arial" w:cs="Arial"/>
          <w:b/>
          <w:bCs/>
          <w:spacing w:val="54"/>
          <w:sz w:val="24"/>
          <w:szCs w:val="24"/>
        </w:rPr>
        <w:t xml:space="preserve"> </w:t>
      </w:r>
      <w:r w:rsidRPr="003E439C">
        <w:rPr>
          <w:rFonts w:ascii="Arial" w:eastAsia="Arial" w:hAnsi="Arial" w:cs="Arial"/>
          <w:b/>
          <w:bCs/>
          <w:spacing w:val="1"/>
          <w:sz w:val="24"/>
          <w:szCs w:val="24"/>
        </w:rPr>
        <w:t>Nous recommandons également que le consentement écrit que doivent fournir les administrateurs à l’avance ou dans la période de dix jours suivant leur première élection soit accompagné d’une entente de la part de l’administrateur éventuel ou de l’administratrice éventuelle s</w:t>
      </w:r>
      <w:r w:rsidR="003E439C" w:rsidRPr="003E439C">
        <w:rPr>
          <w:rFonts w:ascii="Arial" w:eastAsia="Arial" w:hAnsi="Arial" w:cs="Arial"/>
          <w:b/>
          <w:bCs/>
          <w:spacing w:val="1"/>
          <w:sz w:val="24"/>
          <w:szCs w:val="24"/>
        </w:rPr>
        <w:t>elon la</w:t>
      </w:r>
      <w:r w:rsidRPr="003E439C">
        <w:rPr>
          <w:rFonts w:ascii="Arial" w:eastAsia="Arial" w:hAnsi="Arial" w:cs="Arial"/>
          <w:b/>
          <w:bCs/>
          <w:spacing w:val="1"/>
          <w:sz w:val="24"/>
          <w:szCs w:val="24"/>
        </w:rPr>
        <w:t>quel</w:t>
      </w:r>
      <w:r w:rsidR="003E439C" w:rsidRPr="003E439C">
        <w:rPr>
          <w:rFonts w:ascii="Arial" w:eastAsia="Arial" w:hAnsi="Arial" w:cs="Arial"/>
          <w:b/>
          <w:bCs/>
          <w:spacing w:val="1"/>
          <w:sz w:val="24"/>
          <w:szCs w:val="24"/>
        </w:rPr>
        <w:t>le</w:t>
      </w:r>
      <w:r w:rsidRPr="003E439C">
        <w:rPr>
          <w:rFonts w:ascii="Arial" w:eastAsia="Arial" w:hAnsi="Arial" w:cs="Arial"/>
          <w:b/>
          <w:bCs/>
          <w:spacing w:val="1"/>
          <w:sz w:val="24"/>
          <w:szCs w:val="24"/>
        </w:rPr>
        <w:t xml:space="preserve"> il ou elle s'en remet aux lois de l'Ontario en ce qui concerne la société.</w:t>
      </w:r>
    </w:p>
    <w:p w:rsidR="00047FAE" w:rsidRDefault="00047FAE">
      <w:pPr>
        <w:spacing w:line="240" w:lineRule="exact"/>
        <w:rPr>
          <w:sz w:val="24"/>
          <w:szCs w:val="24"/>
        </w:rPr>
      </w:pPr>
    </w:p>
    <w:p w:rsidR="00047FAE" w:rsidRDefault="00DA2AE1">
      <w:pPr>
        <w:pStyle w:val="BodyText"/>
        <w:ind w:right="117"/>
        <w:jc w:val="both"/>
      </w:pPr>
      <w:r w:rsidRPr="003E439C">
        <w:t>L’Onta</w:t>
      </w:r>
      <w:r w:rsidRPr="003E439C">
        <w:rPr>
          <w:spacing w:val="-1"/>
        </w:rPr>
        <w:t>ri</w:t>
      </w:r>
      <w:r w:rsidRPr="003E439C">
        <w:t xml:space="preserve">o </w:t>
      </w:r>
      <w:r w:rsidRPr="003E439C">
        <w:rPr>
          <w:spacing w:val="-1"/>
        </w:rPr>
        <w:t>i</w:t>
      </w:r>
      <w:r w:rsidRPr="003E439C">
        <w:rPr>
          <w:spacing w:val="1"/>
        </w:rPr>
        <w:t>m</w:t>
      </w:r>
      <w:r w:rsidRPr="003E439C">
        <w:rPr>
          <w:spacing w:val="-2"/>
        </w:rPr>
        <w:t>p</w:t>
      </w:r>
      <w:r w:rsidRPr="003E439C">
        <w:t xml:space="preserve">ose des exigences en matière de lieu de résidence </w:t>
      </w:r>
      <w:r w:rsidR="003E439C" w:rsidRPr="003E439C">
        <w:t>des</w:t>
      </w:r>
      <w:r w:rsidRPr="003E439C">
        <w:t xml:space="preserve"> membres de conseils d’administration de sociétés constituées en vertu de la LSAO.</w:t>
      </w:r>
      <w:r w:rsidR="007309FF">
        <w:rPr>
          <w:spacing w:val="66"/>
        </w:rPr>
        <w:t xml:space="preserve"> </w:t>
      </w:r>
      <w:r w:rsidRPr="003E439C">
        <w:rPr>
          <w:spacing w:val="-2"/>
        </w:rPr>
        <w:t>En effet, 25 pour cent des administrateurs de sociétés de l’</w:t>
      </w:r>
      <w:r w:rsidRPr="003E439C">
        <w:t>O</w:t>
      </w:r>
      <w:r w:rsidRPr="003E439C">
        <w:rPr>
          <w:spacing w:val="-2"/>
        </w:rPr>
        <w:t>n</w:t>
      </w:r>
      <w:r w:rsidRPr="003E439C">
        <w:t>ta</w:t>
      </w:r>
      <w:r w:rsidRPr="003E439C">
        <w:rPr>
          <w:spacing w:val="-1"/>
        </w:rPr>
        <w:t>ri</w:t>
      </w:r>
      <w:r w:rsidRPr="003E439C">
        <w:t>o doivent être résidents canadiens.</w:t>
      </w:r>
    </w:p>
    <w:p w:rsidR="00047FAE" w:rsidRDefault="00047FAE">
      <w:pPr>
        <w:spacing w:line="240" w:lineRule="exact"/>
        <w:rPr>
          <w:sz w:val="24"/>
          <w:szCs w:val="24"/>
        </w:rPr>
      </w:pPr>
    </w:p>
    <w:p w:rsidR="00047FAE" w:rsidRDefault="00DA2AE1">
      <w:pPr>
        <w:pStyle w:val="BodyText"/>
        <w:ind w:right="116"/>
        <w:jc w:val="both"/>
      </w:pPr>
      <w:r w:rsidRPr="002A09D4">
        <w:rPr>
          <w:spacing w:val="-1"/>
        </w:rPr>
        <w:t xml:space="preserve">Depuis des années, les exigences en matière de lieu de résidence sont </w:t>
      </w:r>
      <w:r w:rsidR="002A09D4" w:rsidRPr="002A09D4">
        <w:rPr>
          <w:spacing w:val="-1"/>
        </w:rPr>
        <w:t xml:space="preserve">monnaie </w:t>
      </w:r>
      <w:r w:rsidRPr="002A09D4">
        <w:rPr>
          <w:spacing w:val="-1"/>
        </w:rPr>
        <w:t>courante dans les lois sur les sociétés au Canada.</w:t>
      </w:r>
      <w:r w:rsidR="007309FF">
        <w:rPr>
          <w:spacing w:val="41"/>
        </w:rPr>
        <w:t xml:space="preserve"> </w:t>
      </w:r>
      <w:r w:rsidRPr="002A09D4">
        <w:rPr>
          <w:spacing w:val="2"/>
        </w:rPr>
        <w:t xml:space="preserve">Àl’origine, ces exigences avaient pour but de faire en sorte qu’une </w:t>
      </w:r>
      <w:r w:rsidRPr="002A09D4">
        <w:t>pe</w:t>
      </w:r>
      <w:r w:rsidRPr="002A09D4">
        <w:rPr>
          <w:spacing w:val="-1"/>
        </w:rPr>
        <w:t>r</w:t>
      </w:r>
      <w:r w:rsidRPr="002A09D4">
        <w:t>spect</w:t>
      </w:r>
      <w:r w:rsidRPr="002A09D4">
        <w:rPr>
          <w:spacing w:val="-1"/>
        </w:rPr>
        <w:t>i</w:t>
      </w:r>
      <w:r w:rsidRPr="002A09D4">
        <w:rPr>
          <w:spacing w:val="-3"/>
        </w:rPr>
        <w:t>v</w:t>
      </w:r>
      <w:r w:rsidRPr="002A09D4">
        <w:t xml:space="preserve">e canadienne soit représentée </w:t>
      </w:r>
      <w:r w:rsidR="005D5F04" w:rsidRPr="002A09D4">
        <w:t>dans les salles de conseil.</w:t>
      </w:r>
      <w:r w:rsidR="007309FF">
        <w:rPr>
          <w:spacing w:val="17"/>
        </w:rPr>
        <w:t xml:space="preserve"> </w:t>
      </w:r>
      <w:r w:rsidR="00E65BB6" w:rsidRPr="002A09D4">
        <w:rPr>
          <w:spacing w:val="8"/>
        </w:rPr>
        <w:t xml:space="preserve">Nous avons remarqué que la loi de l’Ontario ne fait pas la promotion d’une </w:t>
      </w:r>
      <w:r w:rsidR="00E65BB6" w:rsidRPr="002A09D4">
        <w:t>pe</w:t>
      </w:r>
      <w:r w:rsidR="00E65BB6" w:rsidRPr="002A09D4">
        <w:rPr>
          <w:spacing w:val="-1"/>
        </w:rPr>
        <w:t>rs</w:t>
      </w:r>
      <w:r w:rsidR="00E65BB6" w:rsidRPr="002A09D4">
        <w:t>pe</w:t>
      </w:r>
      <w:r w:rsidR="00E65BB6" w:rsidRPr="002A09D4">
        <w:rPr>
          <w:spacing w:val="-3"/>
        </w:rPr>
        <w:t>c</w:t>
      </w:r>
      <w:r w:rsidR="00E65BB6" w:rsidRPr="002A09D4">
        <w:t>t</w:t>
      </w:r>
      <w:r w:rsidR="00E65BB6" w:rsidRPr="002A09D4">
        <w:rPr>
          <w:spacing w:val="-1"/>
        </w:rPr>
        <w:t>i</w:t>
      </w:r>
      <w:r w:rsidR="00E65BB6" w:rsidRPr="002A09D4">
        <w:rPr>
          <w:spacing w:val="-3"/>
        </w:rPr>
        <w:t>v</w:t>
      </w:r>
      <w:r w:rsidR="00E65BB6" w:rsidRPr="002A09D4">
        <w:t>e ontarienne, car les exigences en matière de lieu de résidence sont satisfaites si 25 pour cent des administrateurs sont des résidents canadiens de n’importe quel coin du pays.</w:t>
      </w:r>
      <w:r w:rsidR="007309FF">
        <w:rPr>
          <w:spacing w:val="30"/>
        </w:rPr>
        <w:t xml:space="preserve"> </w:t>
      </w:r>
      <w:r w:rsidR="00286616" w:rsidRPr="002A09D4">
        <w:t>Quoi qu’il en soit, l’idée que des administrateurs canadiens représentent</w:t>
      </w:r>
      <w:r w:rsidR="002A09D4" w:rsidRPr="002A09D4">
        <w:t xml:space="preserve"> effectivement d</w:t>
      </w:r>
      <w:r w:rsidR="00286616" w:rsidRPr="002A09D4">
        <w:t>es intérêts canadiens s’est estompée au fil du temps.</w:t>
      </w:r>
      <w:r w:rsidR="007309FF">
        <w:t xml:space="preserve"> </w:t>
      </w:r>
      <w:r w:rsidR="00286616" w:rsidRPr="002A09D4">
        <w:t>Des ressorts (dont l’Onta</w:t>
      </w:r>
      <w:r w:rsidR="00286616" w:rsidRPr="002A09D4">
        <w:rPr>
          <w:spacing w:val="-1"/>
        </w:rPr>
        <w:t>ri</w:t>
      </w:r>
      <w:r w:rsidR="00286616" w:rsidRPr="002A09D4">
        <w:t xml:space="preserve">o) qui </w:t>
      </w:r>
      <w:r w:rsidR="002A09D4" w:rsidRPr="002A09D4">
        <w:t>exigea</w:t>
      </w:r>
      <w:r w:rsidR="00286616" w:rsidRPr="002A09D4">
        <w:t xml:space="preserve">ient autrefois que 50 pour cent des membres d’un conseil d’administration soient résidents canadiens </w:t>
      </w:r>
      <w:r w:rsidR="00E92C7E" w:rsidRPr="002A09D4">
        <w:t>ont abaissé cette exigence à 25 pour cent.</w:t>
      </w:r>
      <w:r w:rsidR="007309FF">
        <w:rPr>
          <w:spacing w:val="59"/>
        </w:rPr>
        <w:t xml:space="preserve"> </w:t>
      </w:r>
      <w:r w:rsidR="00E92C7E" w:rsidRPr="002A09D4">
        <w:t>De plus, d’autres ressorts ont tout simplement éliminé cette exigence,</w:t>
      </w:r>
      <w:r w:rsidR="007309FF">
        <w:rPr>
          <w:spacing w:val="33"/>
        </w:rPr>
        <w:t xml:space="preserve"> </w:t>
      </w:r>
      <w:r w:rsidR="00E92C7E" w:rsidRPr="002A09D4">
        <w:rPr>
          <w:spacing w:val="2"/>
        </w:rPr>
        <w:t xml:space="preserve">si bien qu’aujourd’hui, les lois sur les sociétés de la </w:t>
      </w:r>
      <w:r w:rsidR="00E92C7E" w:rsidRPr="002A09D4">
        <w:rPr>
          <w:spacing w:val="-1"/>
        </w:rPr>
        <w:t>C</w:t>
      </w:r>
      <w:r w:rsidR="00E92C7E" w:rsidRPr="002A09D4">
        <w:rPr>
          <w:spacing w:val="-2"/>
        </w:rPr>
        <w:t>o</w:t>
      </w:r>
      <w:r w:rsidR="00E92C7E" w:rsidRPr="002A09D4">
        <w:rPr>
          <w:spacing w:val="-1"/>
        </w:rPr>
        <w:t>l</w:t>
      </w:r>
      <w:r w:rsidR="00E92C7E" w:rsidRPr="002A09D4">
        <w:t xml:space="preserve">ombie-Britannique, du </w:t>
      </w:r>
      <w:r w:rsidR="00E92C7E" w:rsidRPr="002A09D4">
        <w:rPr>
          <w:spacing w:val="-2"/>
        </w:rPr>
        <w:t>Y</w:t>
      </w:r>
      <w:r w:rsidR="00E92C7E" w:rsidRPr="002A09D4">
        <w:t>ukon, de la Nouvelle-Écosse, de l’Île-du-Prince-Édouard, du Nouveau-B</w:t>
      </w:r>
      <w:r w:rsidR="00E92C7E" w:rsidRPr="002A09D4">
        <w:rPr>
          <w:spacing w:val="-1"/>
        </w:rPr>
        <w:t>r</w:t>
      </w:r>
      <w:r w:rsidR="00E92C7E" w:rsidRPr="002A09D4">
        <w:t>uns</w:t>
      </w:r>
      <w:r w:rsidR="00E92C7E" w:rsidRPr="002A09D4">
        <w:rPr>
          <w:spacing w:val="-3"/>
        </w:rPr>
        <w:t>w</w:t>
      </w:r>
      <w:r w:rsidR="00E92C7E" w:rsidRPr="002A09D4">
        <w:rPr>
          <w:spacing w:val="-1"/>
        </w:rPr>
        <w:t>i</w:t>
      </w:r>
      <w:r w:rsidR="00E92C7E" w:rsidRPr="002A09D4">
        <w:t>c</w:t>
      </w:r>
      <w:r w:rsidR="00E92C7E" w:rsidRPr="002A09D4">
        <w:rPr>
          <w:spacing w:val="-1"/>
        </w:rPr>
        <w:t>k, du Québec, des Territoires du Nord-Ouest et du N</w:t>
      </w:r>
      <w:r w:rsidR="002A09D4" w:rsidRPr="002A09D4">
        <w:rPr>
          <w:spacing w:val="-1"/>
        </w:rPr>
        <w:t xml:space="preserve">unavut </w:t>
      </w:r>
      <w:r w:rsidR="00E92C7E" w:rsidRPr="002A09D4">
        <w:t>ne sont assorties d’aucune exigence en matière de lieu de résidence.</w:t>
      </w:r>
      <w:r w:rsidR="007309FF">
        <w:rPr>
          <w:spacing w:val="4"/>
        </w:rPr>
        <w:t xml:space="preserve"> </w:t>
      </w:r>
      <w:r w:rsidR="00E92C7E" w:rsidRPr="002A09D4">
        <w:rPr>
          <w:spacing w:val="-1"/>
        </w:rPr>
        <w:t>Pour leur part, les lois sur les sociétés de l’</w:t>
      </w:r>
      <w:r w:rsidR="00E92C7E" w:rsidRPr="002A09D4">
        <w:t>A</w:t>
      </w:r>
      <w:r w:rsidR="00E92C7E" w:rsidRPr="002A09D4">
        <w:rPr>
          <w:spacing w:val="-1"/>
        </w:rPr>
        <w:t>l</w:t>
      </w:r>
      <w:r w:rsidR="00E92C7E" w:rsidRPr="002A09D4">
        <w:t>be</w:t>
      </w:r>
      <w:r w:rsidR="00E92C7E" w:rsidRPr="002A09D4">
        <w:rPr>
          <w:spacing w:val="-1"/>
        </w:rPr>
        <w:t>r</w:t>
      </w:r>
      <w:r w:rsidR="00E92C7E" w:rsidRPr="002A09D4">
        <w:t>t</w:t>
      </w:r>
      <w:r w:rsidR="00E92C7E" w:rsidRPr="002A09D4">
        <w:rPr>
          <w:spacing w:val="-2"/>
        </w:rPr>
        <w:t xml:space="preserve">a, du </w:t>
      </w:r>
      <w:r w:rsidR="00E92C7E" w:rsidRPr="002A09D4">
        <w:rPr>
          <w:spacing w:val="-1"/>
        </w:rPr>
        <w:t>M</w:t>
      </w:r>
      <w:r w:rsidR="00E92C7E" w:rsidRPr="002A09D4">
        <w:t>an</w:t>
      </w:r>
      <w:r w:rsidR="00E92C7E" w:rsidRPr="002A09D4">
        <w:rPr>
          <w:spacing w:val="-1"/>
        </w:rPr>
        <w:t>i</w:t>
      </w:r>
      <w:r w:rsidR="00E92C7E" w:rsidRPr="002A09D4">
        <w:t>to</w:t>
      </w:r>
      <w:r w:rsidR="00E92C7E" w:rsidRPr="002A09D4">
        <w:rPr>
          <w:spacing w:val="-2"/>
        </w:rPr>
        <w:t>b</w:t>
      </w:r>
      <w:r w:rsidR="00E92C7E" w:rsidRPr="002A09D4">
        <w:t>a, de la Sask</w:t>
      </w:r>
      <w:r w:rsidR="00E92C7E" w:rsidRPr="002A09D4">
        <w:rPr>
          <w:spacing w:val="-2"/>
        </w:rPr>
        <w:t>a</w:t>
      </w:r>
      <w:r w:rsidR="00E92C7E" w:rsidRPr="002A09D4">
        <w:t>tch</w:t>
      </w:r>
      <w:r w:rsidR="00E92C7E" w:rsidRPr="002A09D4">
        <w:rPr>
          <w:spacing w:val="-2"/>
        </w:rPr>
        <w:t>e</w:t>
      </w:r>
      <w:r w:rsidR="00E92C7E" w:rsidRPr="002A09D4">
        <w:rPr>
          <w:spacing w:val="-3"/>
        </w:rPr>
        <w:t>w</w:t>
      </w:r>
      <w:r w:rsidR="00E92C7E" w:rsidRPr="002A09D4">
        <w:t>an, de Terre-Neuve-et-Lab</w:t>
      </w:r>
      <w:r w:rsidR="00E92C7E" w:rsidRPr="002A09D4">
        <w:rPr>
          <w:spacing w:val="-1"/>
        </w:rPr>
        <w:t>r</w:t>
      </w:r>
      <w:r w:rsidR="00E92C7E" w:rsidRPr="002A09D4">
        <w:rPr>
          <w:spacing w:val="-2"/>
        </w:rPr>
        <w:t>a</w:t>
      </w:r>
      <w:r w:rsidR="00E92C7E" w:rsidRPr="002A09D4">
        <w:t>dor et de l’O</w:t>
      </w:r>
      <w:r w:rsidR="00E92C7E" w:rsidRPr="002A09D4">
        <w:rPr>
          <w:spacing w:val="-2"/>
        </w:rPr>
        <w:t>nt</w:t>
      </w:r>
      <w:r w:rsidR="00E92C7E" w:rsidRPr="002A09D4">
        <w:t>a</w:t>
      </w:r>
      <w:r w:rsidR="00E92C7E" w:rsidRPr="002A09D4">
        <w:rPr>
          <w:spacing w:val="-1"/>
        </w:rPr>
        <w:t>ri</w:t>
      </w:r>
      <w:r w:rsidR="00E92C7E" w:rsidRPr="002A09D4">
        <w:t>o (de même que la loi fédérale sur les sociétés) sont dotées d’une exigence voulant que 25 pour cent des administrateurs soient résidents canadiens.</w:t>
      </w:r>
    </w:p>
    <w:p w:rsidR="00047FAE" w:rsidRDefault="00047FAE">
      <w:pPr>
        <w:spacing w:line="240" w:lineRule="exact"/>
        <w:rPr>
          <w:sz w:val="24"/>
          <w:szCs w:val="24"/>
        </w:rPr>
      </w:pPr>
    </w:p>
    <w:p w:rsidR="00047FAE" w:rsidRDefault="00E92C7E">
      <w:pPr>
        <w:pStyle w:val="BodyText"/>
        <w:ind w:right="117"/>
        <w:jc w:val="both"/>
      </w:pPr>
      <w:r w:rsidRPr="002A09D4">
        <w:t xml:space="preserve">Souvent, les entreprises qui désirent se constituer en société </w:t>
      </w:r>
      <w:r w:rsidR="004F7AB8">
        <w:t>quelque part</w:t>
      </w:r>
      <w:r w:rsidRPr="002A09D4">
        <w:t xml:space="preserve"> au Canada préfèrent ne pas être assujetties aux restrictions des exigences de résidence canadienne stipulées dans les lois sur les sociétés de l’</w:t>
      </w:r>
      <w:r w:rsidRPr="002A09D4">
        <w:rPr>
          <w:spacing w:val="-2"/>
        </w:rPr>
        <w:t>O</w:t>
      </w:r>
      <w:r w:rsidRPr="002A09D4">
        <w:t>nta</w:t>
      </w:r>
      <w:r w:rsidRPr="002A09D4">
        <w:rPr>
          <w:spacing w:val="-1"/>
        </w:rPr>
        <w:t>ri</w:t>
      </w:r>
      <w:r w:rsidRPr="002A09D4">
        <w:t>o.</w:t>
      </w:r>
      <w:r w:rsidR="007309FF">
        <w:rPr>
          <w:spacing w:val="16"/>
        </w:rPr>
        <w:t xml:space="preserve"> </w:t>
      </w:r>
      <w:r w:rsidRPr="002A09D4">
        <w:rPr>
          <w:spacing w:val="-1"/>
        </w:rPr>
        <w:t xml:space="preserve">Par exemple, </w:t>
      </w:r>
      <w:r w:rsidR="00462F42" w:rsidRPr="002A09D4">
        <w:rPr>
          <w:spacing w:val="-1"/>
        </w:rPr>
        <w:t>une entreprise américaine pourrait vouloir établir une filiale au Canada et nommer à son conseil d’administration des hauts dirigeants de son siège social.</w:t>
      </w:r>
      <w:r w:rsidR="007309FF">
        <w:rPr>
          <w:spacing w:val="27"/>
        </w:rPr>
        <w:t xml:space="preserve"> </w:t>
      </w:r>
      <w:r w:rsidR="00462F42" w:rsidRPr="002A09D4">
        <w:t>Même si cette entreprise mène une grande partie de ses affaires en Onta</w:t>
      </w:r>
      <w:r w:rsidR="00462F42" w:rsidRPr="002A09D4">
        <w:rPr>
          <w:spacing w:val="-1"/>
        </w:rPr>
        <w:t>ri</w:t>
      </w:r>
      <w:r w:rsidR="00462F42" w:rsidRPr="002A09D4">
        <w:t>o, elle peut se constituer en société en Colombie-Britannique, par exemple, aussi facilement qu’elle pourrait se constituer en société en Onta</w:t>
      </w:r>
      <w:r w:rsidR="00462F42" w:rsidRPr="002A09D4">
        <w:rPr>
          <w:spacing w:val="-1"/>
        </w:rPr>
        <w:t>ri</w:t>
      </w:r>
      <w:r w:rsidR="00462F42" w:rsidRPr="002A09D4">
        <w:t>o.</w:t>
      </w:r>
      <w:r w:rsidR="007309FF">
        <w:rPr>
          <w:spacing w:val="5"/>
        </w:rPr>
        <w:t xml:space="preserve"> </w:t>
      </w:r>
      <w:r w:rsidR="00462F42" w:rsidRPr="002A09D4">
        <w:t xml:space="preserve">Ensuite, elle mène ses affaires en </w:t>
      </w:r>
      <w:r w:rsidR="00462F42" w:rsidRPr="002A09D4">
        <w:rPr>
          <w:spacing w:val="-2"/>
        </w:rPr>
        <w:t>O</w:t>
      </w:r>
      <w:r w:rsidR="00462F42" w:rsidRPr="002A09D4">
        <w:t>nta</w:t>
      </w:r>
      <w:r w:rsidR="00462F42" w:rsidRPr="002A09D4">
        <w:rPr>
          <w:spacing w:val="-1"/>
        </w:rPr>
        <w:t>ri</w:t>
      </w:r>
      <w:r w:rsidR="00462F42" w:rsidRPr="002A09D4">
        <w:t xml:space="preserve">o, car il lui </w:t>
      </w:r>
      <w:r w:rsidR="00462F42" w:rsidRPr="002A09D4">
        <w:lastRenderedPageBreak/>
        <w:t xml:space="preserve">suffit de s’enregistrer comme société </w:t>
      </w:r>
      <w:r w:rsidR="00995E8E" w:rsidRPr="002A09D4">
        <w:t>extraprovinciale.</w:t>
      </w:r>
      <w:r w:rsidR="007309FF">
        <w:rPr>
          <w:spacing w:val="15"/>
        </w:rPr>
        <w:t xml:space="preserve"> </w:t>
      </w:r>
      <w:r w:rsidR="00995E8E" w:rsidRPr="002A09D4">
        <w:t>Par ailleurs, les sociétés qui se sont constituées en Onta</w:t>
      </w:r>
      <w:r w:rsidR="00995E8E" w:rsidRPr="002A09D4">
        <w:rPr>
          <w:spacing w:val="-1"/>
        </w:rPr>
        <w:t>ri</w:t>
      </w:r>
      <w:r w:rsidR="00995E8E" w:rsidRPr="002A09D4">
        <w:t>o pour commencer peuvent continuer de faire des affaires en dehors de l’Onta</w:t>
      </w:r>
      <w:r w:rsidR="00995E8E" w:rsidRPr="002A09D4">
        <w:rPr>
          <w:spacing w:val="-1"/>
        </w:rPr>
        <w:t>ri</w:t>
      </w:r>
      <w:r w:rsidR="00995E8E" w:rsidRPr="002A09D4">
        <w:t>o (autrement dit, elles peuvent quitter l’Onta</w:t>
      </w:r>
      <w:r w:rsidR="00995E8E" w:rsidRPr="002A09D4">
        <w:rPr>
          <w:spacing w:val="-1"/>
        </w:rPr>
        <w:t>ri</w:t>
      </w:r>
      <w:r w:rsidR="00995E8E" w:rsidRPr="002A09D4">
        <w:t>o en faveur d’un autre ressort), car elles estiment que les exigences en matière de résidence imposées par les lois de l’Onta</w:t>
      </w:r>
      <w:r w:rsidR="00995E8E" w:rsidRPr="002A09D4">
        <w:rPr>
          <w:spacing w:val="-1"/>
        </w:rPr>
        <w:t>ri</w:t>
      </w:r>
      <w:r w:rsidR="00995E8E" w:rsidRPr="002A09D4">
        <w:t xml:space="preserve">o </w:t>
      </w:r>
      <w:r w:rsidR="002A09D4" w:rsidRPr="002A09D4">
        <w:t xml:space="preserve">entraînent </w:t>
      </w:r>
      <w:r w:rsidR="00995E8E" w:rsidRPr="002A09D4">
        <w:t>des restr</w:t>
      </w:r>
      <w:r w:rsidR="007602A9" w:rsidRPr="002A09D4">
        <w:t>i</w:t>
      </w:r>
      <w:r w:rsidR="00995E8E" w:rsidRPr="002A09D4">
        <w:t xml:space="preserve">ctions </w:t>
      </w:r>
      <w:r w:rsidR="00217CC6" w:rsidRPr="002A09D4">
        <w:t>indésirables.</w:t>
      </w:r>
    </w:p>
    <w:p w:rsidR="00047FAE" w:rsidRDefault="00047FAE">
      <w:pPr>
        <w:spacing w:line="240" w:lineRule="exact"/>
        <w:rPr>
          <w:sz w:val="24"/>
          <w:szCs w:val="24"/>
        </w:rPr>
      </w:pPr>
    </w:p>
    <w:p w:rsidR="00047FAE" w:rsidRDefault="00217CC6" w:rsidP="00D172C3">
      <w:pPr>
        <w:pStyle w:val="BodyText"/>
        <w:ind w:right="117"/>
        <w:jc w:val="both"/>
      </w:pPr>
      <w:r w:rsidRPr="002A09D4">
        <w:t xml:space="preserve">Lorsque les investisseurs décident de ne pas se constituer </w:t>
      </w:r>
      <w:r w:rsidR="002A09D4" w:rsidRPr="002A09D4">
        <w:t xml:space="preserve">société </w:t>
      </w:r>
      <w:r w:rsidRPr="002A09D4">
        <w:t>en Onta</w:t>
      </w:r>
      <w:r w:rsidRPr="002A09D4">
        <w:rPr>
          <w:spacing w:val="-1"/>
        </w:rPr>
        <w:t>ri</w:t>
      </w:r>
      <w:r w:rsidRPr="002A09D4">
        <w:t>o ou lorsqu’ils décident de quitter l'Onta</w:t>
      </w:r>
      <w:r w:rsidRPr="002A09D4">
        <w:rPr>
          <w:spacing w:val="-1"/>
        </w:rPr>
        <w:t>ri</w:t>
      </w:r>
      <w:r w:rsidRPr="002A09D4">
        <w:t>o en faveur d’un autre ressort, l’Onta</w:t>
      </w:r>
      <w:r w:rsidRPr="002A09D4">
        <w:rPr>
          <w:spacing w:val="-1"/>
        </w:rPr>
        <w:t>ri</w:t>
      </w:r>
      <w:r w:rsidRPr="002A09D4">
        <w:t>o perd des revenus et de l’</w:t>
      </w:r>
      <w:r w:rsidRPr="002A09D4">
        <w:rPr>
          <w:spacing w:val="-1"/>
        </w:rPr>
        <w:t>i</w:t>
      </w:r>
      <w:r w:rsidRPr="002A09D4">
        <w:rPr>
          <w:spacing w:val="-2"/>
        </w:rPr>
        <w:t>n</w:t>
      </w:r>
      <w:r w:rsidRPr="002A09D4">
        <w:rPr>
          <w:spacing w:val="2"/>
        </w:rPr>
        <w:t>f</w:t>
      </w:r>
      <w:r w:rsidRPr="002A09D4">
        <w:rPr>
          <w:spacing w:val="-1"/>
        </w:rPr>
        <w:t>l</w:t>
      </w:r>
      <w:r w:rsidRPr="002A09D4">
        <w:t>u</w:t>
      </w:r>
      <w:r w:rsidRPr="002A09D4">
        <w:rPr>
          <w:spacing w:val="-2"/>
        </w:rPr>
        <w:t>e</w:t>
      </w:r>
      <w:r w:rsidRPr="002A09D4">
        <w:t>nce.</w:t>
      </w:r>
      <w:r w:rsidR="007309FF">
        <w:rPr>
          <w:spacing w:val="43"/>
        </w:rPr>
        <w:t xml:space="preserve"> </w:t>
      </w:r>
      <w:r w:rsidRPr="002A09D4">
        <w:rPr>
          <w:spacing w:val="2"/>
        </w:rPr>
        <w:t xml:space="preserve">Le gouvernement </w:t>
      </w:r>
      <w:r w:rsidR="00B73E29" w:rsidRPr="002A09D4">
        <w:rPr>
          <w:spacing w:val="2"/>
        </w:rPr>
        <w:t xml:space="preserve">se prive </w:t>
      </w:r>
      <w:r w:rsidR="002A09D4" w:rsidRPr="002A09D4">
        <w:rPr>
          <w:spacing w:val="2"/>
        </w:rPr>
        <w:t xml:space="preserve">donc </w:t>
      </w:r>
      <w:r w:rsidR="00B73E29" w:rsidRPr="002A09D4">
        <w:rPr>
          <w:spacing w:val="2"/>
        </w:rPr>
        <w:t xml:space="preserve">de </w:t>
      </w:r>
      <w:r w:rsidR="00CC3B8B" w:rsidRPr="002A09D4">
        <w:rPr>
          <w:spacing w:val="2"/>
        </w:rPr>
        <w:t>droits de dépôt.</w:t>
      </w:r>
      <w:r w:rsidR="007309FF">
        <w:rPr>
          <w:spacing w:val="54"/>
        </w:rPr>
        <w:t xml:space="preserve"> </w:t>
      </w:r>
      <w:r w:rsidR="00CC3B8B" w:rsidRPr="002A09D4">
        <w:rPr>
          <w:spacing w:val="2"/>
        </w:rPr>
        <w:t>La société doit retenir les services d’avocats faisant partie du ressort où elle a été constituée en société pour une grande partie des conseils dont elle a besoin, et souvent, elle décide de faire uniquement affaire avec les avocats où elle a été constituée en société.</w:t>
      </w:r>
      <w:r w:rsidR="007309FF">
        <w:rPr>
          <w:spacing w:val="12"/>
        </w:rPr>
        <w:t xml:space="preserve"> </w:t>
      </w:r>
      <w:r w:rsidR="003F22F1" w:rsidRPr="002A09D4">
        <w:t>L</w:t>
      </w:r>
      <w:r w:rsidR="009F2726" w:rsidRPr="002A09D4">
        <w:t xml:space="preserve">es avocats et </w:t>
      </w:r>
      <w:r w:rsidR="003F22F1" w:rsidRPr="002A09D4">
        <w:t>les parajuristes de l’O</w:t>
      </w:r>
      <w:r w:rsidR="003F22F1" w:rsidRPr="002A09D4">
        <w:rPr>
          <w:spacing w:val="-2"/>
        </w:rPr>
        <w:t>n</w:t>
      </w:r>
      <w:r w:rsidR="003F22F1" w:rsidRPr="002A09D4">
        <w:t>ta</w:t>
      </w:r>
      <w:r w:rsidR="003F22F1" w:rsidRPr="002A09D4">
        <w:rPr>
          <w:spacing w:val="-1"/>
        </w:rPr>
        <w:t>ri</w:t>
      </w:r>
      <w:r w:rsidR="003F22F1" w:rsidRPr="002A09D4">
        <w:t>o sont donc laissés pour compte.</w:t>
      </w:r>
      <w:r w:rsidR="007309FF">
        <w:rPr>
          <w:spacing w:val="10"/>
        </w:rPr>
        <w:t xml:space="preserve"> </w:t>
      </w:r>
      <w:r w:rsidR="0094132E" w:rsidRPr="002A09D4">
        <w:t>La plupart du temps, les poursuites</w:t>
      </w:r>
      <w:r w:rsidR="00D172C3">
        <w:t xml:space="preserve"> </w:t>
      </w:r>
      <w:r w:rsidR="0094132E" w:rsidRPr="002A09D4">
        <w:rPr>
          <w:spacing w:val="-1"/>
        </w:rPr>
        <w:t xml:space="preserve">concernant la société seront effectuées dans le ressort qui régit la société, même si une grande partie de ses activités </w:t>
      </w:r>
      <w:r w:rsidR="002A09D4" w:rsidRPr="002A09D4">
        <w:rPr>
          <w:spacing w:val="-1"/>
        </w:rPr>
        <w:t>se déroulent</w:t>
      </w:r>
      <w:r w:rsidR="0094132E" w:rsidRPr="002A09D4">
        <w:rPr>
          <w:spacing w:val="-1"/>
        </w:rPr>
        <w:t xml:space="preserve"> en </w:t>
      </w:r>
      <w:r w:rsidR="0094132E" w:rsidRPr="002A09D4">
        <w:t>Onta</w:t>
      </w:r>
      <w:r w:rsidR="0094132E" w:rsidRPr="002A09D4">
        <w:rPr>
          <w:spacing w:val="-1"/>
        </w:rPr>
        <w:t>ri</w:t>
      </w:r>
      <w:r w:rsidR="0094132E" w:rsidRPr="002A09D4">
        <w:t>o.</w:t>
      </w:r>
      <w:r w:rsidR="007309FF">
        <w:rPr>
          <w:spacing w:val="52"/>
        </w:rPr>
        <w:t xml:space="preserve"> </w:t>
      </w:r>
      <w:r w:rsidR="00056045" w:rsidRPr="002A09D4">
        <w:t>Puisque les tribunaux de l’Onta</w:t>
      </w:r>
      <w:r w:rsidR="00056045" w:rsidRPr="002A09D4">
        <w:rPr>
          <w:spacing w:val="-1"/>
        </w:rPr>
        <w:t>ri</w:t>
      </w:r>
      <w:r w:rsidR="00056045" w:rsidRPr="002A09D4">
        <w:t>o</w:t>
      </w:r>
      <w:r w:rsidR="002A09D4" w:rsidRPr="002A09D4">
        <w:t xml:space="preserve"> ne sont pas mêlé</w:t>
      </w:r>
      <w:r w:rsidR="00C01FA4" w:rsidRPr="002A09D4">
        <w:t>s à ces affaires, l</w:t>
      </w:r>
      <w:r w:rsidR="002A09D4" w:rsidRPr="002A09D4">
        <w:t>es</w:t>
      </w:r>
      <w:r w:rsidR="00C01FA4" w:rsidRPr="002A09D4">
        <w:t xml:space="preserve"> loi</w:t>
      </w:r>
      <w:r w:rsidR="002A09D4" w:rsidRPr="002A09D4">
        <w:t>s</w:t>
      </w:r>
      <w:r w:rsidR="00C01FA4" w:rsidRPr="002A09D4">
        <w:t xml:space="preserve"> de l’Ontario et la </w:t>
      </w:r>
      <w:r w:rsidR="00C01FA4" w:rsidRPr="002A09D4">
        <w:rPr>
          <w:spacing w:val="-1"/>
        </w:rPr>
        <w:t>j</w:t>
      </w:r>
      <w:r w:rsidR="00C01FA4" w:rsidRPr="002A09D4">
        <w:t>u</w:t>
      </w:r>
      <w:r w:rsidR="00C01FA4" w:rsidRPr="002A09D4">
        <w:rPr>
          <w:spacing w:val="-1"/>
        </w:rPr>
        <w:t>ri</w:t>
      </w:r>
      <w:r w:rsidR="00C01FA4" w:rsidRPr="002A09D4">
        <w:t>sp</w:t>
      </w:r>
      <w:r w:rsidR="00C01FA4" w:rsidRPr="002A09D4">
        <w:rPr>
          <w:spacing w:val="-1"/>
        </w:rPr>
        <w:t>r</w:t>
      </w:r>
      <w:r w:rsidR="00C01FA4" w:rsidRPr="002A09D4">
        <w:t>u</w:t>
      </w:r>
      <w:r w:rsidR="00C01FA4" w:rsidRPr="002A09D4">
        <w:rPr>
          <w:spacing w:val="-2"/>
        </w:rPr>
        <w:t>d</w:t>
      </w:r>
      <w:r w:rsidR="00C01FA4" w:rsidRPr="002A09D4">
        <w:t>ence de ses tribunaux ne jouent aucun rôle dans la détermination des grandes questions de gouvernance se rapportant à la société.</w:t>
      </w:r>
    </w:p>
    <w:p w:rsidR="00047FAE" w:rsidRDefault="00047FAE">
      <w:pPr>
        <w:spacing w:line="240" w:lineRule="exact"/>
        <w:rPr>
          <w:sz w:val="24"/>
          <w:szCs w:val="24"/>
        </w:rPr>
      </w:pPr>
    </w:p>
    <w:p w:rsidR="00C01FA4" w:rsidRPr="00C01FA4" w:rsidRDefault="00C01FA4">
      <w:pPr>
        <w:pStyle w:val="BodyText"/>
        <w:ind w:right="117"/>
        <w:jc w:val="both"/>
        <w:rPr>
          <w:rStyle w:val="tw4winMark"/>
        </w:rPr>
      </w:pPr>
      <w:r w:rsidRPr="008E3539">
        <w:t>Nous comprenons que les enquêtes, les poursuites et les mesures d’application contre les administrateurs de société</w:t>
      </w:r>
      <w:r w:rsidR="008E3539" w:rsidRPr="008E3539">
        <w:t>s</w:t>
      </w:r>
      <w:r w:rsidRPr="008E3539">
        <w:t xml:space="preserve"> risquent d’être plus faciles pour les autorités gouvernementales si, à tout le moins, certains administrateurs sont résidents du Canada (bien que nous soyons conscients </w:t>
      </w:r>
      <w:r w:rsidR="008E3539" w:rsidRPr="008E3539">
        <w:t xml:space="preserve">du fait </w:t>
      </w:r>
      <w:r w:rsidRPr="008E3539">
        <w:t>qu’un administrateur qui est résident canadien ne possède pas nécessairement d’actifs, ou ne possède pas d’actifs au Canada</w:t>
      </w:r>
      <w:r w:rsidR="008E3539" w:rsidRPr="008E3539">
        <w:t>)</w:t>
      </w:r>
      <w:r w:rsidRPr="008E3539">
        <w:t>.</w:t>
      </w:r>
      <w:r w:rsidR="007309FF">
        <w:rPr>
          <w:spacing w:val="29"/>
        </w:rPr>
        <w:t xml:space="preserve"> </w:t>
      </w:r>
    </w:p>
    <w:p w:rsidR="00C01FA4" w:rsidRPr="00C01FA4" w:rsidRDefault="00132F27">
      <w:pPr>
        <w:pStyle w:val="BodyText"/>
        <w:ind w:right="117"/>
        <w:jc w:val="both"/>
        <w:rPr>
          <w:rStyle w:val="tw4winMark"/>
        </w:rPr>
      </w:pPr>
      <w:r w:rsidRPr="00D0465B">
        <w:rPr>
          <w:spacing w:val="2"/>
        </w:rPr>
        <w:t xml:space="preserve">Afin de surmonter cette difficulté, nous </w:t>
      </w:r>
      <w:r w:rsidR="00D80F51" w:rsidRPr="00D0465B">
        <w:rPr>
          <w:spacing w:val="2"/>
        </w:rPr>
        <w:t>recommandons, lorsqu’une personne donne son con</w:t>
      </w:r>
      <w:r w:rsidR="008E3539" w:rsidRPr="00D0465B">
        <w:rPr>
          <w:spacing w:val="2"/>
        </w:rPr>
        <w:t>sentement</w:t>
      </w:r>
      <w:r w:rsidR="00D80F51" w:rsidRPr="00D0465B">
        <w:rPr>
          <w:spacing w:val="2"/>
        </w:rPr>
        <w:t xml:space="preserve"> par écrit pour servir d'administrateur, que ce consentement soit accompagné d’une entente selon laquelle la société s’en remet aux lois de l’</w:t>
      </w:r>
      <w:r w:rsidR="00D80F51" w:rsidRPr="00D0465B">
        <w:t>Onta</w:t>
      </w:r>
      <w:r w:rsidR="00D80F51" w:rsidRPr="00D0465B">
        <w:rPr>
          <w:spacing w:val="-1"/>
        </w:rPr>
        <w:t>ri</w:t>
      </w:r>
      <w:r w:rsidR="00D80F51" w:rsidRPr="00D0465B">
        <w:t>o.</w:t>
      </w:r>
    </w:p>
    <w:p w:rsidR="00047FAE" w:rsidRDefault="00047FAE">
      <w:pPr>
        <w:spacing w:line="240" w:lineRule="exact"/>
        <w:rPr>
          <w:sz w:val="24"/>
          <w:szCs w:val="24"/>
        </w:rPr>
      </w:pPr>
    </w:p>
    <w:p w:rsidR="00047FAE" w:rsidRDefault="00D80F51">
      <w:pPr>
        <w:pStyle w:val="BodyText"/>
        <w:ind w:right="117"/>
        <w:jc w:val="both"/>
      </w:pPr>
      <w:r w:rsidRPr="00D0465B">
        <w:t>Nous reconnaissons que cette dernière recommandation</w:t>
      </w:r>
      <w:r w:rsidR="00140D3E" w:rsidRPr="00D0465B">
        <w:t xml:space="preserve"> ne représente pas nécessairement une réponse complètement satisfaisante aux préoccupations concernant l'accès, à tout le moins, à certains administrateurs advenant que des enquêtes s’avèrent nécessaires, par exemple</w:t>
      </w:r>
      <w:r w:rsidR="00140D3E" w:rsidRPr="00D0465B">
        <w:rPr>
          <w:spacing w:val="6"/>
        </w:rPr>
        <w:t xml:space="preserve">. </w:t>
      </w:r>
      <w:r w:rsidR="007309FF">
        <w:rPr>
          <w:spacing w:val="39"/>
        </w:rPr>
        <w:t xml:space="preserve"> </w:t>
      </w:r>
      <w:r w:rsidR="002C088B" w:rsidRPr="00D0465B">
        <w:rPr>
          <w:spacing w:val="-1"/>
        </w:rPr>
        <w:t>Cependant, force est de constater qu’aucun autre type d’entité régie par les lois de l’</w:t>
      </w:r>
      <w:r w:rsidR="002C088B" w:rsidRPr="00D0465B">
        <w:t>Onta</w:t>
      </w:r>
      <w:r w:rsidR="002C088B" w:rsidRPr="00D0465B">
        <w:rPr>
          <w:spacing w:val="-1"/>
        </w:rPr>
        <w:t>ri</w:t>
      </w:r>
      <w:r w:rsidR="002C088B" w:rsidRPr="00D0465B">
        <w:t xml:space="preserve">o ne doit comprendre des Canadiens </w:t>
      </w:r>
      <w:r w:rsidR="00D0465B" w:rsidRPr="00D0465B">
        <w:t xml:space="preserve">résidents </w:t>
      </w:r>
      <w:r w:rsidR="002C088B" w:rsidRPr="00D0465B">
        <w:t>comme membres de leurs organismes dirigeants.</w:t>
      </w:r>
      <w:r w:rsidR="007309FF">
        <w:t xml:space="preserve"> </w:t>
      </w:r>
      <w:r w:rsidR="002C088B" w:rsidRPr="00D0465B">
        <w:t>Par exemple, les sociétés en nom collectif, les sociétés en commandite et les fiducies ne sont pas assujetties à une telle exigence.</w:t>
      </w:r>
      <w:r w:rsidR="007309FF">
        <w:rPr>
          <w:spacing w:val="30"/>
        </w:rPr>
        <w:t xml:space="preserve"> </w:t>
      </w:r>
      <w:r w:rsidR="002C088B" w:rsidRPr="00312704">
        <w:t xml:space="preserve">Il en est de même des lois d’États américains, qui n’exigent qu’aucun pourcentage des membres du conseil d’administration réside aux États-Unis (tout comme bien des provinces canadiennes n’exigent pas qu’un pourcentage des membres de conseils d’administration réside au Canada). </w:t>
      </w:r>
      <w:r w:rsidR="007309FF">
        <w:rPr>
          <w:spacing w:val="15"/>
        </w:rPr>
        <w:t xml:space="preserve"> </w:t>
      </w:r>
      <w:r w:rsidR="002C088B" w:rsidRPr="00312704">
        <w:t>Par conséquent, nous doutons du fait que les préoccupations à l’égard des enquêtes, des poursuites et des mesures d’application devraient l’emporter sur les avantages d’éliminer l’exigence en matière de résidence pour les lois sur les sociétés</w:t>
      </w:r>
      <w:r w:rsidR="00312704">
        <w:t xml:space="preserve"> en Ontario</w:t>
      </w:r>
      <w:r w:rsidR="002C088B" w:rsidRPr="00312704">
        <w:t>.</w:t>
      </w:r>
    </w:p>
    <w:p w:rsidR="00047FAE" w:rsidRDefault="00047FAE">
      <w:pPr>
        <w:spacing w:line="240" w:lineRule="exact"/>
        <w:rPr>
          <w:sz w:val="24"/>
          <w:szCs w:val="24"/>
        </w:rPr>
      </w:pPr>
    </w:p>
    <w:p w:rsidR="00047FAE" w:rsidRDefault="002C088B">
      <w:pPr>
        <w:pStyle w:val="BodyText"/>
        <w:ind w:right="114"/>
        <w:jc w:val="both"/>
      </w:pPr>
      <w:r w:rsidRPr="00312704">
        <w:rPr>
          <w:spacing w:val="2"/>
        </w:rPr>
        <w:t xml:space="preserve">L’élimination de l’exigence en matière de résidence ne signifie pas que les sociétés de l’Ontario chercheront </w:t>
      </w:r>
      <w:r w:rsidR="00312704" w:rsidRPr="00312704">
        <w:rPr>
          <w:spacing w:val="2"/>
        </w:rPr>
        <w:t>sans cesse</w:t>
      </w:r>
      <w:r w:rsidRPr="00312704">
        <w:rPr>
          <w:spacing w:val="2"/>
        </w:rPr>
        <w:t xml:space="preserve"> à intégrer des non-Canadiens à leur</w:t>
      </w:r>
      <w:r w:rsidR="00312704" w:rsidRPr="00312704">
        <w:rPr>
          <w:spacing w:val="2"/>
        </w:rPr>
        <w:t>s</w:t>
      </w:r>
      <w:r w:rsidRPr="00312704">
        <w:rPr>
          <w:spacing w:val="2"/>
        </w:rPr>
        <w:t xml:space="preserve"> conseil</w:t>
      </w:r>
      <w:r w:rsidR="00312704" w:rsidRPr="00312704">
        <w:rPr>
          <w:spacing w:val="2"/>
        </w:rPr>
        <w:t>s</w:t>
      </w:r>
      <w:r w:rsidRPr="00312704">
        <w:rPr>
          <w:spacing w:val="2"/>
        </w:rPr>
        <w:t xml:space="preserve"> d’administration.</w:t>
      </w:r>
      <w:r w:rsidR="007309FF">
        <w:rPr>
          <w:spacing w:val="2"/>
        </w:rPr>
        <w:t xml:space="preserve"> </w:t>
      </w:r>
      <w:r w:rsidRPr="00312704">
        <w:rPr>
          <w:spacing w:val="-1"/>
        </w:rPr>
        <w:t xml:space="preserve">Il existe en </w:t>
      </w:r>
      <w:r w:rsidRPr="00312704">
        <w:rPr>
          <w:spacing w:val="-2"/>
        </w:rPr>
        <w:t>O</w:t>
      </w:r>
      <w:r w:rsidRPr="00312704">
        <w:t>nta</w:t>
      </w:r>
      <w:r w:rsidRPr="00312704">
        <w:rPr>
          <w:spacing w:val="-1"/>
        </w:rPr>
        <w:t>ri</w:t>
      </w:r>
      <w:r w:rsidRPr="00312704">
        <w:t>o d</w:t>
      </w:r>
      <w:r w:rsidR="00312704" w:rsidRPr="00312704">
        <w:t>e nombreuses personnes compétent</w:t>
      </w:r>
      <w:r w:rsidRPr="00312704">
        <w:t>es qui sont prêtes à faire partie de conseils d’administration.</w:t>
      </w:r>
      <w:r w:rsidR="007309FF">
        <w:rPr>
          <w:spacing w:val="17"/>
        </w:rPr>
        <w:t xml:space="preserve"> </w:t>
      </w:r>
      <w:r w:rsidRPr="00312704">
        <w:rPr>
          <w:spacing w:val="-1"/>
        </w:rPr>
        <w:t>Les administrateurs d’entreprises privées ont souvent une certaine proximité de leur secteur d’activités.</w:t>
      </w:r>
      <w:r w:rsidR="007309FF">
        <w:rPr>
          <w:spacing w:val="24"/>
        </w:rPr>
        <w:t xml:space="preserve"> </w:t>
      </w:r>
      <w:r w:rsidRPr="00312704">
        <w:t>Même lorsque cela n’est pas le cas, si la société fait des affaires en Onta</w:t>
      </w:r>
      <w:r w:rsidRPr="00312704">
        <w:rPr>
          <w:spacing w:val="-1"/>
        </w:rPr>
        <w:t>ri</w:t>
      </w:r>
      <w:r w:rsidRPr="00312704">
        <w:t xml:space="preserve">o, elle aura des actifs et des </w:t>
      </w:r>
      <w:r w:rsidRPr="00312704">
        <w:lastRenderedPageBreak/>
        <w:t>employés en Onta</w:t>
      </w:r>
      <w:r w:rsidRPr="00312704">
        <w:rPr>
          <w:spacing w:val="-1"/>
        </w:rPr>
        <w:t>ri</w:t>
      </w:r>
      <w:r w:rsidRPr="00312704">
        <w:t>o.</w:t>
      </w:r>
      <w:r w:rsidR="007309FF">
        <w:rPr>
          <w:spacing w:val="49"/>
        </w:rPr>
        <w:t xml:space="preserve"> </w:t>
      </w:r>
      <w:r w:rsidRPr="00420C35">
        <w:rPr>
          <w:spacing w:val="2"/>
        </w:rPr>
        <w:t>Par ailleurs, les considérations d’ordre fiscal pourraient aussi faire en sorte qu’une certaine proportion d’administrateurs soient résidents du Canada.</w:t>
      </w:r>
    </w:p>
    <w:p w:rsidR="00047FAE" w:rsidRDefault="00047FAE">
      <w:pPr>
        <w:spacing w:line="240" w:lineRule="exact"/>
        <w:rPr>
          <w:sz w:val="24"/>
          <w:szCs w:val="24"/>
        </w:rPr>
      </w:pPr>
    </w:p>
    <w:p w:rsidR="00047FAE" w:rsidRDefault="002C088B">
      <w:pPr>
        <w:pStyle w:val="BodyText"/>
        <w:ind w:right="117"/>
        <w:jc w:val="both"/>
      </w:pPr>
      <w:r w:rsidRPr="00420C35">
        <w:rPr>
          <w:spacing w:val="-1"/>
        </w:rPr>
        <w:t>Pour les raisons susmentionnées, nous croyons que l’exigence voulant que 25 pour cent des administrateurs d’une société régie par la LSAO</w:t>
      </w:r>
      <w:r w:rsidR="00BA21AB" w:rsidRPr="00420C35">
        <w:rPr>
          <w:spacing w:val="-1"/>
        </w:rPr>
        <w:t xml:space="preserve"> soient résidents crée un obstacle de taille aux sociétés qui sont constituées en </w:t>
      </w:r>
      <w:r w:rsidR="00BA21AB" w:rsidRPr="00420C35">
        <w:t>O</w:t>
      </w:r>
      <w:r w:rsidR="00420C35" w:rsidRPr="00420C35">
        <w:t>ntario</w:t>
      </w:r>
      <w:r w:rsidR="00BA21AB" w:rsidRPr="00420C35">
        <w:t>, et que cette exigence devrait être éliminée.</w:t>
      </w:r>
      <w:r w:rsidR="007309FF">
        <w:rPr>
          <w:spacing w:val="60"/>
        </w:rPr>
        <w:t xml:space="preserve"> </w:t>
      </w:r>
      <w:r w:rsidR="00BA21AB" w:rsidRPr="00420C35">
        <w:rPr>
          <w:spacing w:val="6"/>
        </w:rPr>
        <w:t xml:space="preserve">Nous croyons qu'il est peu probable que cela </w:t>
      </w:r>
      <w:r w:rsidR="003149B2" w:rsidRPr="00420C35">
        <w:rPr>
          <w:spacing w:val="6"/>
        </w:rPr>
        <w:t xml:space="preserve">se traduise par le </w:t>
      </w:r>
      <w:r w:rsidR="00BA21AB" w:rsidRPr="00420C35">
        <w:rPr>
          <w:spacing w:val="6"/>
        </w:rPr>
        <w:t xml:space="preserve">recrutement </w:t>
      </w:r>
      <w:r w:rsidR="003149B2" w:rsidRPr="00420C35">
        <w:rPr>
          <w:spacing w:val="6"/>
        </w:rPr>
        <w:t>à grande échelle de non-Canadiens pour siéger au</w:t>
      </w:r>
      <w:r w:rsidR="00420C35" w:rsidRPr="00420C35">
        <w:rPr>
          <w:spacing w:val="6"/>
        </w:rPr>
        <w:t>x</w:t>
      </w:r>
      <w:r w:rsidR="003149B2" w:rsidRPr="00420C35">
        <w:rPr>
          <w:spacing w:val="6"/>
        </w:rPr>
        <w:t xml:space="preserve"> conseil</w:t>
      </w:r>
      <w:r w:rsidR="00420C35" w:rsidRPr="00420C35">
        <w:rPr>
          <w:spacing w:val="6"/>
        </w:rPr>
        <w:t>s</w:t>
      </w:r>
      <w:r w:rsidR="003149B2" w:rsidRPr="00420C35">
        <w:rPr>
          <w:spacing w:val="6"/>
        </w:rPr>
        <w:t xml:space="preserve"> d’administration de sociétés de l’</w:t>
      </w:r>
      <w:r w:rsidR="003149B2" w:rsidRPr="00420C35">
        <w:rPr>
          <w:spacing w:val="-2"/>
        </w:rPr>
        <w:t>On</w:t>
      </w:r>
      <w:r w:rsidR="003149B2" w:rsidRPr="00420C35">
        <w:t>ta</w:t>
      </w:r>
      <w:r w:rsidR="003149B2" w:rsidRPr="00420C35">
        <w:rPr>
          <w:spacing w:val="-1"/>
        </w:rPr>
        <w:t>ri</w:t>
      </w:r>
      <w:r w:rsidR="003149B2" w:rsidRPr="00420C35">
        <w:t>o.</w:t>
      </w:r>
      <w:r w:rsidR="007309FF">
        <w:rPr>
          <w:spacing w:val="19"/>
        </w:rPr>
        <w:t xml:space="preserve"> </w:t>
      </w:r>
      <w:r w:rsidR="003149B2" w:rsidRPr="00420C35">
        <w:rPr>
          <w:spacing w:val="6"/>
        </w:rPr>
        <w:t>Nous doutons donc de la nécessité d’avoir une exigence de résidence pour faciliter les enquêtes, les poursuites et les mesures d’application.</w:t>
      </w:r>
      <w:r w:rsidR="007309FF">
        <w:t xml:space="preserve"> </w:t>
      </w:r>
      <w:r w:rsidR="003149B2" w:rsidRPr="00420C35">
        <w:rPr>
          <w:spacing w:val="-1"/>
        </w:rPr>
        <w:t>Nous estimons toutefois que le fait d’obliger les administrateurs à s’en remettre aux lois de l’</w:t>
      </w:r>
      <w:r w:rsidR="003149B2" w:rsidRPr="00420C35">
        <w:rPr>
          <w:spacing w:val="-2"/>
        </w:rPr>
        <w:t>O</w:t>
      </w:r>
      <w:r w:rsidR="003149B2" w:rsidRPr="00420C35">
        <w:t>nta</w:t>
      </w:r>
      <w:r w:rsidR="003149B2" w:rsidRPr="00420C35">
        <w:rPr>
          <w:spacing w:val="-1"/>
        </w:rPr>
        <w:t>ri</w:t>
      </w:r>
      <w:r w:rsidR="003149B2" w:rsidRPr="00420C35">
        <w:t xml:space="preserve">o du point de vue de leur société atténuerait, dans une certaine mesure, les inquiétudes à cet égard. </w:t>
      </w:r>
    </w:p>
    <w:p w:rsidR="00047FAE" w:rsidRDefault="00047FAE">
      <w:pPr>
        <w:jc w:val="both"/>
        <w:sectPr w:rsidR="00047FAE">
          <w:pgSz w:w="12240" w:h="15840"/>
          <w:pgMar w:top="980" w:right="1320" w:bottom="920" w:left="1320" w:header="743" w:footer="731" w:gutter="0"/>
          <w:cols w:space="720"/>
        </w:sectPr>
      </w:pPr>
    </w:p>
    <w:p w:rsidR="00047FAE" w:rsidRDefault="00047FAE">
      <w:pPr>
        <w:spacing w:before="5" w:line="160" w:lineRule="exact"/>
        <w:rPr>
          <w:sz w:val="16"/>
          <w:szCs w:val="16"/>
        </w:rPr>
      </w:pPr>
    </w:p>
    <w:p w:rsidR="00047FAE" w:rsidRPr="00420C35" w:rsidRDefault="00DE3162" w:rsidP="00420C35">
      <w:pPr>
        <w:numPr>
          <w:ilvl w:val="0"/>
          <w:numId w:val="26"/>
        </w:numPr>
        <w:tabs>
          <w:tab w:val="left" w:pos="839"/>
        </w:tabs>
        <w:ind w:left="840" w:right="120"/>
        <w:rPr>
          <w:rFonts w:ascii="Arial" w:eastAsia="Arial" w:hAnsi="Arial" w:cs="Arial"/>
          <w:sz w:val="24"/>
          <w:szCs w:val="24"/>
        </w:rPr>
      </w:pPr>
      <w:bookmarkStart w:id="36" w:name="2._Allowing_Shareholders_to_Continue_to_"/>
      <w:bookmarkEnd w:id="36"/>
      <w:r w:rsidRPr="00420C35">
        <w:rPr>
          <w:rFonts w:ascii="Arial" w:eastAsia="Arial" w:hAnsi="Arial" w:cs="Arial"/>
          <w:b/>
          <w:bCs/>
          <w:spacing w:val="-6"/>
          <w:sz w:val="24"/>
          <w:szCs w:val="24"/>
        </w:rPr>
        <w:t>Avan</w:t>
      </w:r>
      <w:r w:rsidR="00420C35" w:rsidRPr="00420C35">
        <w:rPr>
          <w:rFonts w:ascii="Arial" w:eastAsia="Arial" w:hAnsi="Arial" w:cs="Arial"/>
          <w:b/>
          <w:bCs/>
          <w:spacing w:val="-6"/>
          <w:sz w:val="24"/>
          <w:szCs w:val="24"/>
        </w:rPr>
        <w:t>cement des propositions d’</w:t>
      </w:r>
      <w:r w:rsidRPr="00420C35">
        <w:rPr>
          <w:rFonts w:ascii="Arial" w:eastAsia="Arial" w:hAnsi="Arial" w:cs="Arial"/>
          <w:b/>
          <w:bCs/>
          <w:spacing w:val="-6"/>
          <w:sz w:val="24"/>
          <w:szCs w:val="24"/>
        </w:rPr>
        <w:t xml:space="preserve">actionnaires </w:t>
      </w:r>
      <w:r w:rsidR="00420C35" w:rsidRPr="00420C35">
        <w:rPr>
          <w:rFonts w:ascii="Arial" w:eastAsia="Arial" w:hAnsi="Arial" w:cs="Arial"/>
          <w:b/>
          <w:bCs/>
          <w:spacing w:val="-6"/>
          <w:sz w:val="24"/>
          <w:szCs w:val="24"/>
        </w:rPr>
        <w:t>recevant un appui</w:t>
      </w:r>
      <w:r w:rsidRPr="00420C35">
        <w:rPr>
          <w:rFonts w:ascii="Arial" w:eastAsia="Arial" w:hAnsi="Arial" w:cs="Arial"/>
          <w:b/>
          <w:bCs/>
          <w:spacing w:val="-6"/>
          <w:sz w:val="24"/>
          <w:szCs w:val="24"/>
        </w:rPr>
        <w:t xml:space="preserve"> croissant </w:t>
      </w:r>
    </w:p>
    <w:p w:rsidR="00047FAE" w:rsidRDefault="00047FAE">
      <w:pPr>
        <w:spacing w:line="240" w:lineRule="exact"/>
        <w:rPr>
          <w:sz w:val="24"/>
          <w:szCs w:val="24"/>
        </w:rPr>
      </w:pPr>
    </w:p>
    <w:p w:rsidR="00047FAE" w:rsidRDefault="00DE3162">
      <w:pPr>
        <w:ind w:left="120" w:right="120"/>
        <w:jc w:val="both"/>
        <w:rPr>
          <w:rFonts w:ascii="Arial" w:eastAsia="Arial" w:hAnsi="Arial" w:cs="Arial"/>
          <w:sz w:val="24"/>
          <w:szCs w:val="24"/>
        </w:rPr>
      </w:pPr>
      <w:r w:rsidRPr="00420C35">
        <w:rPr>
          <w:rFonts w:ascii="Arial" w:eastAsia="Arial" w:hAnsi="Arial" w:cs="Arial"/>
          <w:b/>
          <w:bCs/>
          <w:spacing w:val="1"/>
          <w:sz w:val="24"/>
          <w:szCs w:val="24"/>
        </w:rPr>
        <w:t>Nous recommandons que les actionnaires aient le droit de présenter une proposition de nouveau chaque année si elle obtient un degré de soutien minimal au cours des années précédentes.</w:t>
      </w:r>
    </w:p>
    <w:p w:rsidR="00047FAE" w:rsidRDefault="00047FAE">
      <w:pPr>
        <w:spacing w:line="240" w:lineRule="exact"/>
        <w:rPr>
          <w:sz w:val="24"/>
          <w:szCs w:val="24"/>
        </w:rPr>
      </w:pPr>
    </w:p>
    <w:p w:rsidR="00047FAE" w:rsidRDefault="00DE3162">
      <w:pPr>
        <w:pStyle w:val="BodyText"/>
        <w:ind w:right="117"/>
        <w:jc w:val="both"/>
      </w:pPr>
      <w:r w:rsidRPr="00420C35">
        <w:t>Les propositions des actionnaires représentent d’importants outils pour les actionnaires</w:t>
      </w:r>
      <w:r w:rsidR="00420C35" w:rsidRPr="00420C35">
        <w:t>, outils</w:t>
      </w:r>
      <w:r w:rsidRPr="00420C35">
        <w:t xml:space="preserve"> leur permettant de soulever des questions au sujet, par exemple, de problèmes de gouvernance à des fins de considération par les autres actionnaires de leur société.</w:t>
      </w:r>
      <w:r w:rsidR="007309FF">
        <w:rPr>
          <w:spacing w:val="39"/>
        </w:rPr>
        <w:t xml:space="preserve"> </w:t>
      </w:r>
      <w:r w:rsidRPr="00420C35">
        <w:rPr>
          <w:spacing w:val="-1"/>
        </w:rPr>
        <w:t>À l’origine, les principes de la majorité des voix et de la consultation au sujet de la rémunération des dirigeants (</w:t>
      </w:r>
      <w:r w:rsidRPr="00420C35">
        <w:rPr>
          <w:i/>
          <w:spacing w:val="-1"/>
        </w:rPr>
        <w:t>say on pay</w:t>
      </w:r>
      <w:r w:rsidRPr="00420C35">
        <w:rPr>
          <w:spacing w:val="-1"/>
        </w:rPr>
        <w:t xml:space="preserve">) </w:t>
      </w:r>
      <w:r w:rsidR="0009475D" w:rsidRPr="00420C35">
        <w:rPr>
          <w:spacing w:val="-1"/>
        </w:rPr>
        <w:t>o</w:t>
      </w:r>
      <w:r w:rsidR="00F02E1E" w:rsidRPr="00420C35">
        <w:rPr>
          <w:spacing w:val="-1"/>
        </w:rPr>
        <w:t>nt fait l’objet de propositions d’actionnaires avant d’</w:t>
      </w:r>
      <w:r w:rsidR="0009475D" w:rsidRPr="00420C35">
        <w:rPr>
          <w:spacing w:val="-1"/>
        </w:rPr>
        <w:t xml:space="preserve">être </w:t>
      </w:r>
      <w:r w:rsidR="004F7AB8">
        <w:rPr>
          <w:spacing w:val="-1"/>
        </w:rPr>
        <w:t>acceptés</w:t>
      </w:r>
      <w:r w:rsidR="0009475D" w:rsidRPr="00420C35">
        <w:rPr>
          <w:spacing w:val="-1"/>
        </w:rPr>
        <w:t xml:space="preserve"> </w:t>
      </w:r>
      <w:r w:rsidR="00420C35" w:rsidRPr="00420C35">
        <w:rPr>
          <w:spacing w:val="-1"/>
        </w:rPr>
        <w:t xml:space="preserve">à grande échelle </w:t>
      </w:r>
      <w:r w:rsidR="0009475D" w:rsidRPr="00420C35">
        <w:rPr>
          <w:spacing w:val="-1"/>
        </w:rPr>
        <w:t>par les sociétés ouvertes.</w:t>
      </w:r>
    </w:p>
    <w:p w:rsidR="00047FAE" w:rsidRDefault="00047FAE">
      <w:pPr>
        <w:spacing w:line="240" w:lineRule="exact"/>
        <w:rPr>
          <w:sz w:val="24"/>
          <w:szCs w:val="24"/>
        </w:rPr>
      </w:pPr>
    </w:p>
    <w:p w:rsidR="00047FAE" w:rsidRDefault="0009475D">
      <w:pPr>
        <w:pStyle w:val="BodyText"/>
        <w:ind w:right="116"/>
        <w:jc w:val="both"/>
      </w:pPr>
      <w:r w:rsidRPr="00420C35">
        <w:t xml:space="preserve">L’accès à la circulaire d’information </w:t>
      </w:r>
      <w:r w:rsidR="00DD07F0" w:rsidRPr="00420C35">
        <w:t xml:space="preserve">de la direction par l’actionnaire faisant une proposition constitue une caractéristique </w:t>
      </w:r>
      <w:r w:rsidR="00DD07F0" w:rsidRPr="00420C35">
        <w:rPr>
          <w:spacing w:val="-1"/>
        </w:rPr>
        <w:t>im</w:t>
      </w:r>
      <w:r w:rsidR="00DD07F0" w:rsidRPr="00420C35">
        <w:t>po</w:t>
      </w:r>
      <w:r w:rsidR="00DD07F0" w:rsidRPr="00420C35">
        <w:rPr>
          <w:spacing w:val="-1"/>
        </w:rPr>
        <w:t>r</w:t>
      </w:r>
      <w:r w:rsidR="00DD07F0" w:rsidRPr="00420C35">
        <w:t>t</w:t>
      </w:r>
      <w:r w:rsidR="00DD07F0" w:rsidRPr="00420C35">
        <w:rPr>
          <w:spacing w:val="-2"/>
        </w:rPr>
        <w:t>a</w:t>
      </w:r>
      <w:r w:rsidR="00DD07F0" w:rsidRPr="00420C35">
        <w:t>nte du processus de proposition des actionnaires.</w:t>
      </w:r>
      <w:r w:rsidR="0088299A" w:rsidRPr="00420C35">
        <w:t xml:space="preserve"> Il s’agit là d’un moyen pour les actionnaires de communiquer ensemble sans engager de coûts importants.</w:t>
      </w:r>
      <w:r w:rsidR="007309FF">
        <w:t xml:space="preserve"> </w:t>
      </w:r>
      <w:r w:rsidR="0088299A" w:rsidRPr="00F104D1">
        <w:t xml:space="preserve">De manière générale, les actionnaires qui font une proposition ne sollicitent généralement pas de procurations en faveur de leur proposition (à moins que l’actionnaire sollicite des votes pour une autre raison, comme </w:t>
      </w:r>
      <w:r w:rsidR="00CB3EC0" w:rsidRPr="00F104D1">
        <w:t xml:space="preserve">une course aux procurations), car cela signifierait qu’ils devraient émettre </w:t>
      </w:r>
      <w:r w:rsidR="00642872" w:rsidRPr="00F104D1">
        <w:t>une circulaire d’information de diss</w:t>
      </w:r>
      <w:r w:rsidR="00420C35" w:rsidRPr="00F104D1">
        <w:t>id</w:t>
      </w:r>
      <w:r w:rsidR="00642872" w:rsidRPr="00F104D1">
        <w:t>ent en lien avec cette sollicitation.</w:t>
      </w:r>
      <w:r w:rsidR="007309FF">
        <w:rPr>
          <w:spacing w:val="15"/>
        </w:rPr>
        <w:t xml:space="preserve"> </w:t>
      </w:r>
      <w:r w:rsidR="00FC7520" w:rsidRPr="00F104D1">
        <w:rPr>
          <w:spacing w:val="2"/>
        </w:rPr>
        <w:t xml:space="preserve">Pour la plupart des actionnaires, la préparation et la </w:t>
      </w:r>
      <w:r w:rsidR="00FC7520" w:rsidRPr="00F104D1">
        <w:t>d</w:t>
      </w:r>
      <w:r w:rsidR="00FC7520" w:rsidRPr="00F104D1">
        <w:rPr>
          <w:spacing w:val="-1"/>
        </w:rPr>
        <w:t>i</w:t>
      </w:r>
      <w:r w:rsidR="00FC7520" w:rsidRPr="00F104D1">
        <w:t>st</w:t>
      </w:r>
      <w:r w:rsidR="00FC7520" w:rsidRPr="00F104D1">
        <w:rPr>
          <w:spacing w:val="-1"/>
        </w:rPr>
        <w:t>ri</w:t>
      </w:r>
      <w:r w:rsidR="00FC7520" w:rsidRPr="00F104D1">
        <w:rPr>
          <w:spacing w:val="-2"/>
        </w:rPr>
        <w:t>b</w:t>
      </w:r>
      <w:r w:rsidR="00FC7520" w:rsidRPr="00F104D1">
        <w:t>ut</w:t>
      </w:r>
      <w:r w:rsidR="00FC7520" w:rsidRPr="00F104D1">
        <w:rPr>
          <w:spacing w:val="-1"/>
        </w:rPr>
        <w:t>i</w:t>
      </w:r>
      <w:r w:rsidR="00FC7520" w:rsidRPr="00F104D1">
        <w:t xml:space="preserve">on d’une circulaire de dissident de même que la sollicitation </w:t>
      </w:r>
      <w:r w:rsidR="00C94915" w:rsidRPr="00F104D1">
        <w:t>de procurations auraient un coût prohibitif.</w:t>
      </w:r>
      <w:r w:rsidR="007309FF">
        <w:t xml:space="preserve"> </w:t>
      </w:r>
      <w:r w:rsidR="00C94915" w:rsidRPr="00F104D1">
        <w:rPr>
          <w:spacing w:val="2"/>
        </w:rPr>
        <w:t xml:space="preserve">Par contre, pour une société, se conformer à ses </w:t>
      </w:r>
      <w:r w:rsidR="00C94915" w:rsidRPr="00F104D1">
        <w:t>ob</w:t>
      </w:r>
      <w:r w:rsidR="00C94915" w:rsidRPr="00F104D1">
        <w:rPr>
          <w:spacing w:val="-1"/>
        </w:rPr>
        <w:t>li</w:t>
      </w:r>
      <w:r w:rsidR="00C94915" w:rsidRPr="00F104D1">
        <w:rPr>
          <w:spacing w:val="-2"/>
        </w:rPr>
        <w:t>g</w:t>
      </w:r>
      <w:r w:rsidR="00C94915" w:rsidRPr="00F104D1">
        <w:t>at</w:t>
      </w:r>
      <w:r w:rsidR="00C94915" w:rsidRPr="00F104D1">
        <w:rPr>
          <w:spacing w:val="-1"/>
        </w:rPr>
        <w:t>i</w:t>
      </w:r>
      <w:r w:rsidR="00C94915" w:rsidRPr="00F104D1">
        <w:t xml:space="preserve">ons </w:t>
      </w:r>
      <w:r w:rsidR="00A120BA" w:rsidRPr="00F104D1">
        <w:t xml:space="preserve">en matière de </w:t>
      </w:r>
      <w:r w:rsidR="00C94915" w:rsidRPr="00F104D1">
        <w:t>proposition</w:t>
      </w:r>
      <w:r w:rsidR="00A120BA" w:rsidRPr="00F104D1">
        <w:t>s se fait à peu de frais.</w:t>
      </w:r>
      <w:r w:rsidR="00C94915" w:rsidRPr="00F104D1">
        <w:t xml:space="preserve"> </w:t>
      </w:r>
    </w:p>
    <w:p w:rsidR="00047FAE" w:rsidRDefault="00047FAE">
      <w:pPr>
        <w:spacing w:line="240" w:lineRule="exact"/>
        <w:rPr>
          <w:sz w:val="24"/>
          <w:szCs w:val="24"/>
        </w:rPr>
      </w:pPr>
    </w:p>
    <w:p w:rsidR="00047FAE" w:rsidRDefault="00A120BA">
      <w:pPr>
        <w:pStyle w:val="BodyText"/>
        <w:ind w:right="115"/>
        <w:jc w:val="both"/>
      </w:pPr>
      <w:r w:rsidRPr="00F104D1">
        <w:t>De manière générale, puisque les actionnaires qui font une proposition ne sollicitent pas de procurations, il n’est pas étonnant que les propositions récoltent souvent un faible appui.</w:t>
      </w:r>
      <w:r w:rsidR="007309FF">
        <w:rPr>
          <w:spacing w:val="15"/>
        </w:rPr>
        <w:t xml:space="preserve"> </w:t>
      </w:r>
      <w:r w:rsidRPr="00F104D1">
        <w:t>Les propositions qui ne reçoivent pas l’</w:t>
      </w:r>
      <w:r w:rsidR="00616A5A" w:rsidRPr="00F104D1">
        <w:t>approbation des actionnaires à la p</w:t>
      </w:r>
      <w:r w:rsidRPr="00F104D1">
        <w:t>remière présentation pourra</w:t>
      </w:r>
      <w:r w:rsidR="00616A5A" w:rsidRPr="00F104D1">
        <w:t xml:space="preserve">ient faire meilleure figure une fois </w:t>
      </w:r>
      <w:r w:rsidRPr="00F104D1">
        <w:t>que les actionnaires ont eu plus de temps pour les considérer, se sont familiarisés avec l’</w:t>
      </w:r>
      <w:r w:rsidR="0037417B" w:rsidRPr="00F104D1">
        <w:t xml:space="preserve">essentiel des </w:t>
      </w:r>
      <w:r w:rsidR="00616A5A" w:rsidRPr="00F104D1">
        <w:t>proposition</w:t>
      </w:r>
      <w:r w:rsidR="0037417B" w:rsidRPr="00F104D1">
        <w:t>s</w:t>
      </w:r>
      <w:r w:rsidR="00616A5A" w:rsidRPr="00F104D1">
        <w:t xml:space="preserve"> et commencent à mieux l</w:t>
      </w:r>
      <w:r w:rsidR="0037417B" w:rsidRPr="00F104D1">
        <w:t xml:space="preserve">es </w:t>
      </w:r>
      <w:r w:rsidR="00F104D1">
        <w:t>comprendre</w:t>
      </w:r>
      <w:r w:rsidRPr="00F104D1">
        <w:t>.</w:t>
      </w:r>
      <w:r w:rsidR="007309FF">
        <w:rPr>
          <w:spacing w:val="30"/>
        </w:rPr>
        <w:t xml:space="preserve"> </w:t>
      </w:r>
      <w:r w:rsidR="0037417B" w:rsidRPr="00F104D1">
        <w:t>Souvent, les propositions retiennent plus d’a</w:t>
      </w:r>
      <w:r w:rsidR="0037417B" w:rsidRPr="00F104D1">
        <w:rPr>
          <w:spacing w:val="-2"/>
        </w:rPr>
        <w:t>t</w:t>
      </w:r>
      <w:r w:rsidR="0037417B" w:rsidRPr="00F104D1">
        <w:t>t</w:t>
      </w:r>
      <w:r w:rsidR="0037417B" w:rsidRPr="00F104D1">
        <w:rPr>
          <w:spacing w:val="-1"/>
        </w:rPr>
        <w:t>ention et engagent les intérêts des investisseurs seulement après l’assemblée des actionnaires où elles ont été présentées.</w:t>
      </w:r>
    </w:p>
    <w:p w:rsidR="00047FAE" w:rsidRDefault="00047FAE">
      <w:pPr>
        <w:spacing w:line="240" w:lineRule="exact"/>
        <w:rPr>
          <w:sz w:val="24"/>
          <w:szCs w:val="24"/>
        </w:rPr>
      </w:pPr>
    </w:p>
    <w:p w:rsidR="00047FAE" w:rsidRDefault="00EC6DE9">
      <w:pPr>
        <w:pStyle w:val="BodyText"/>
        <w:ind w:right="116"/>
        <w:jc w:val="both"/>
      </w:pPr>
      <w:r w:rsidRPr="00F104D1">
        <w:rPr>
          <w:spacing w:val="2"/>
        </w:rPr>
        <w:t xml:space="preserve">En ce moment, les dispositions de la LSAO sont conçues de sorte à éviter </w:t>
      </w:r>
      <w:r w:rsidR="00813CAC" w:rsidRPr="00F104D1">
        <w:rPr>
          <w:spacing w:val="2"/>
        </w:rPr>
        <w:t xml:space="preserve">qu’un actionnaire présente une proposition année </w:t>
      </w:r>
      <w:r w:rsidR="00F104D1" w:rsidRPr="00F104D1">
        <w:rPr>
          <w:spacing w:val="2"/>
        </w:rPr>
        <w:t>après année</w:t>
      </w:r>
      <w:r w:rsidR="00813CAC" w:rsidRPr="00F104D1">
        <w:rPr>
          <w:spacing w:val="2"/>
        </w:rPr>
        <w:t xml:space="preserve"> avec peu de chances de succès, ce qui est dérangeant.</w:t>
      </w:r>
      <w:r w:rsidR="007309FF">
        <w:t xml:space="preserve"> </w:t>
      </w:r>
      <w:r w:rsidR="00813CAC" w:rsidRPr="00F104D1">
        <w:rPr>
          <w:spacing w:val="2"/>
        </w:rPr>
        <w:t xml:space="preserve">Les dispositions de la </w:t>
      </w:r>
      <w:r w:rsidR="00813CAC" w:rsidRPr="00F104D1">
        <w:rPr>
          <w:i/>
          <w:spacing w:val="2"/>
        </w:rPr>
        <w:t xml:space="preserve">Loi canadienne sur les sociétés par actions </w:t>
      </w:r>
      <w:r w:rsidR="00813CAC" w:rsidRPr="00F104D1">
        <w:rPr>
          <w:spacing w:val="2"/>
        </w:rPr>
        <w:t>(</w:t>
      </w:r>
      <w:r w:rsidR="00F104D1" w:rsidRPr="00F104D1">
        <w:rPr>
          <w:spacing w:val="2"/>
        </w:rPr>
        <w:t xml:space="preserve">la </w:t>
      </w:r>
      <w:r w:rsidR="00813CAC" w:rsidRPr="00F104D1">
        <w:rPr>
          <w:spacing w:val="2"/>
        </w:rPr>
        <w:t xml:space="preserve">LCSA) selon lesquelles un actionnaire peut présenter une proposition de nouveau si </w:t>
      </w:r>
      <w:r w:rsidR="00F104D1" w:rsidRPr="00F104D1">
        <w:rPr>
          <w:spacing w:val="2"/>
        </w:rPr>
        <w:t>celle-ci</w:t>
      </w:r>
      <w:r w:rsidR="00813CAC" w:rsidRPr="00F104D1">
        <w:rPr>
          <w:spacing w:val="2"/>
        </w:rPr>
        <w:t xml:space="preserve"> obtient un plus grand soutien </w:t>
      </w:r>
      <w:r w:rsidR="004F7AB8">
        <w:rPr>
          <w:spacing w:val="2"/>
        </w:rPr>
        <w:t>favorisent</w:t>
      </w:r>
      <w:r w:rsidR="00813CAC" w:rsidRPr="00F104D1">
        <w:rPr>
          <w:spacing w:val="2"/>
        </w:rPr>
        <w:t xml:space="preserve"> la démocratie chez les actionnaires sans toutefois attirer des propositions dérangeantes.</w:t>
      </w:r>
    </w:p>
    <w:p w:rsidR="00047FAE" w:rsidRDefault="00047FAE">
      <w:pPr>
        <w:spacing w:line="240" w:lineRule="exact"/>
        <w:rPr>
          <w:sz w:val="24"/>
          <w:szCs w:val="24"/>
        </w:rPr>
      </w:pPr>
    </w:p>
    <w:p w:rsidR="00047FAE" w:rsidRDefault="00813CAC">
      <w:pPr>
        <w:pStyle w:val="BodyText"/>
        <w:ind w:right="118"/>
        <w:jc w:val="both"/>
      </w:pPr>
      <w:r w:rsidRPr="00F104D1">
        <w:rPr>
          <w:spacing w:val="2"/>
        </w:rPr>
        <w:t xml:space="preserve">En effet, la LCSA prescrit une limite de cinq ans </w:t>
      </w:r>
      <w:r w:rsidR="00BB4D0B" w:rsidRPr="00F104D1">
        <w:rPr>
          <w:spacing w:val="2"/>
        </w:rPr>
        <w:t>pour présenter de nouveau un</w:t>
      </w:r>
      <w:r w:rsidR="00F104D1" w:rsidRPr="00F104D1">
        <w:rPr>
          <w:spacing w:val="2"/>
        </w:rPr>
        <w:t>e</w:t>
      </w:r>
      <w:r w:rsidR="00BB4D0B" w:rsidRPr="00F104D1">
        <w:rPr>
          <w:spacing w:val="2"/>
        </w:rPr>
        <w:t xml:space="preserve"> proposition d’actionnaire.</w:t>
      </w:r>
      <w:r w:rsidR="007309FF">
        <w:rPr>
          <w:spacing w:val="23"/>
        </w:rPr>
        <w:t xml:space="preserve"> </w:t>
      </w:r>
      <w:r w:rsidR="00BB4D0B" w:rsidRPr="00F104D1">
        <w:t>Pour qu’une proposition puisse être présentée de nouveau, elle doit avoir reçu le soutien des actionnaires aux assemblées antérieures, comme suit :</w:t>
      </w:r>
    </w:p>
    <w:p w:rsidR="00047FAE" w:rsidRDefault="00047FAE">
      <w:pPr>
        <w:spacing w:line="240" w:lineRule="exact"/>
        <w:rPr>
          <w:sz w:val="24"/>
          <w:szCs w:val="24"/>
        </w:rPr>
      </w:pPr>
    </w:p>
    <w:p w:rsidR="00047FAE" w:rsidRDefault="00D56393" w:rsidP="00F104D1">
      <w:pPr>
        <w:pStyle w:val="BodyText"/>
        <w:numPr>
          <w:ilvl w:val="1"/>
          <w:numId w:val="26"/>
        </w:numPr>
        <w:tabs>
          <w:tab w:val="left" w:pos="839"/>
        </w:tabs>
        <w:ind w:left="840" w:right="117"/>
        <w:jc w:val="both"/>
      </w:pPr>
      <w:r w:rsidRPr="00F104D1">
        <w:t xml:space="preserve">3 </w:t>
      </w:r>
      <w:r w:rsidR="00F104D1" w:rsidRPr="00F104D1">
        <w:t>pour cent</w:t>
      </w:r>
      <w:r w:rsidRPr="00F104D1">
        <w:t xml:space="preserve"> du</w:t>
      </w:r>
      <w:r w:rsidR="00A04950">
        <w:t xml:space="preserve"> </w:t>
      </w:r>
      <w:r w:rsidRPr="00F104D1">
        <w:t>nombre total d</w:t>
      </w:r>
      <w:r w:rsidR="00EF4D49" w:rsidRPr="00F104D1">
        <w:t>e droits de vote exercés, si la proposition a été présentée à l’occasion d’une assemblée annuelle des actionnaires;</w:t>
      </w:r>
    </w:p>
    <w:p w:rsidR="00047FAE" w:rsidRDefault="00047FAE">
      <w:pPr>
        <w:spacing w:line="120" w:lineRule="exact"/>
        <w:rPr>
          <w:sz w:val="12"/>
          <w:szCs w:val="12"/>
        </w:rPr>
      </w:pPr>
    </w:p>
    <w:p w:rsidR="00047FAE" w:rsidRDefault="00EF4D49" w:rsidP="00F104D1">
      <w:pPr>
        <w:pStyle w:val="BodyText"/>
        <w:numPr>
          <w:ilvl w:val="1"/>
          <w:numId w:val="26"/>
        </w:numPr>
        <w:tabs>
          <w:tab w:val="left" w:pos="839"/>
        </w:tabs>
        <w:ind w:left="840" w:right="120"/>
        <w:jc w:val="both"/>
      </w:pPr>
      <w:r w:rsidRPr="00F104D1">
        <w:t xml:space="preserve">6 </w:t>
      </w:r>
      <w:r w:rsidR="00F104D1" w:rsidRPr="00F104D1">
        <w:t>pour cent</w:t>
      </w:r>
      <w:r w:rsidRPr="00F104D1">
        <w:t xml:space="preserve"> du nombre total de droits de vote exercés à sa dernière présentation aux actionnaires, si la proposition a été présentée à l’occasion de deux </w:t>
      </w:r>
      <w:r w:rsidRPr="00F104D1">
        <w:lastRenderedPageBreak/>
        <w:t>assemblées annuelles des actionnaires; et</w:t>
      </w:r>
    </w:p>
    <w:p w:rsidR="00047FAE" w:rsidRDefault="00047FAE">
      <w:pPr>
        <w:spacing w:line="120" w:lineRule="exact"/>
        <w:rPr>
          <w:sz w:val="12"/>
          <w:szCs w:val="12"/>
        </w:rPr>
      </w:pPr>
    </w:p>
    <w:p w:rsidR="00047FAE" w:rsidRDefault="00EF4D49" w:rsidP="00F104D1">
      <w:pPr>
        <w:pStyle w:val="BodyText"/>
        <w:numPr>
          <w:ilvl w:val="1"/>
          <w:numId w:val="26"/>
        </w:numPr>
        <w:tabs>
          <w:tab w:val="left" w:pos="839"/>
        </w:tabs>
        <w:ind w:left="840" w:right="120"/>
        <w:jc w:val="both"/>
      </w:pPr>
      <w:r w:rsidRPr="00F104D1">
        <w:t xml:space="preserve">10 </w:t>
      </w:r>
      <w:r w:rsidR="00F104D1" w:rsidRPr="00F104D1">
        <w:t>pour cent</w:t>
      </w:r>
      <w:r w:rsidRPr="00F104D1">
        <w:t xml:space="preserve"> du nombre total de droits de vote exercés à sa dernière présentation aux actionnaires, si la proposition a été présentée à l’occasion de trois assemblées annuelles des actionnaires ou plus.</w:t>
      </w:r>
    </w:p>
    <w:p w:rsidR="00047FAE" w:rsidRDefault="00047FAE">
      <w:pPr>
        <w:spacing w:line="120" w:lineRule="exact"/>
        <w:rPr>
          <w:sz w:val="12"/>
          <w:szCs w:val="12"/>
        </w:rPr>
      </w:pPr>
    </w:p>
    <w:p w:rsidR="00047FAE" w:rsidRDefault="00EF4D49" w:rsidP="00D172C3">
      <w:pPr>
        <w:pStyle w:val="BodyText"/>
        <w:ind w:right="528"/>
        <w:jc w:val="both"/>
      </w:pPr>
      <w:r w:rsidRPr="005B6722">
        <w:t>Nous recommandons l’apport de modifications à la LSAO, conformément aux dispositions de la LCSA.</w:t>
      </w:r>
    </w:p>
    <w:p w:rsidR="00047FAE" w:rsidRDefault="00047FAE">
      <w:pPr>
        <w:jc w:val="both"/>
      </w:pPr>
    </w:p>
    <w:p w:rsidR="00D172C3" w:rsidRDefault="00D172C3">
      <w:pPr>
        <w:jc w:val="both"/>
      </w:pPr>
    </w:p>
    <w:p w:rsidR="00047FAE" w:rsidRPr="005B6722" w:rsidRDefault="00EF4D49" w:rsidP="005B6722">
      <w:pPr>
        <w:numPr>
          <w:ilvl w:val="0"/>
          <w:numId w:val="26"/>
        </w:numPr>
        <w:tabs>
          <w:tab w:val="left" w:pos="840"/>
        </w:tabs>
        <w:spacing w:before="69"/>
        <w:ind w:left="840" w:right="2381"/>
        <w:jc w:val="both"/>
        <w:rPr>
          <w:rFonts w:ascii="Arial" w:eastAsia="Arial" w:hAnsi="Arial" w:cs="Arial"/>
          <w:sz w:val="24"/>
          <w:szCs w:val="24"/>
        </w:rPr>
      </w:pPr>
      <w:bookmarkStart w:id="37" w:name="3._Process_for_Submitting_Proposals_in_P"/>
      <w:bookmarkEnd w:id="37"/>
      <w:r w:rsidRPr="005B6722">
        <w:rPr>
          <w:rFonts w:ascii="Arial" w:eastAsia="Arial" w:hAnsi="Arial" w:cs="Arial"/>
          <w:b/>
          <w:bCs/>
          <w:sz w:val="24"/>
          <w:szCs w:val="24"/>
        </w:rPr>
        <w:t xml:space="preserve">Processus de présentation des propositions </w:t>
      </w:r>
      <w:r w:rsidR="001853BA" w:rsidRPr="005B6722">
        <w:rPr>
          <w:rFonts w:ascii="Arial" w:eastAsia="Arial" w:hAnsi="Arial" w:cs="Arial"/>
          <w:b/>
          <w:bCs/>
          <w:sz w:val="24"/>
          <w:szCs w:val="24"/>
        </w:rPr>
        <w:t>au sein de sociétés fermées</w:t>
      </w:r>
    </w:p>
    <w:p w:rsidR="00047FAE" w:rsidRDefault="00047FAE">
      <w:pPr>
        <w:spacing w:line="240" w:lineRule="exact"/>
        <w:rPr>
          <w:sz w:val="24"/>
          <w:szCs w:val="24"/>
        </w:rPr>
      </w:pPr>
    </w:p>
    <w:p w:rsidR="00047FAE" w:rsidRDefault="001853BA">
      <w:pPr>
        <w:ind w:left="120" w:right="116"/>
        <w:jc w:val="both"/>
        <w:rPr>
          <w:rFonts w:ascii="Arial" w:eastAsia="Arial" w:hAnsi="Arial" w:cs="Arial"/>
          <w:sz w:val="24"/>
          <w:szCs w:val="24"/>
        </w:rPr>
      </w:pPr>
      <w:r w:rsidRPr="005B6722">
        <w:rPr>
          <w:rFonts w:ascii="Arial" w:eastAsia="Arial" w:hAnsi="Arial" w:cs="Arial"/>
          <w:b/>
          <w:bCs/>
          <w:spacing w:val="1"/>
          <w:sz w:val="24"/>
          <w:szCs w:val="24"/>
        </w:rPr>
        <w:t xml:space="preserve">Nous recommandons que le délai accordé aux actionnaires d’une société ne faisant pas appel au public pour présenter une proposition </w:t>
      </w:r>
      <w:r w:rsidR="005B6722" w:rsidRPr="005B6722">
        <w:rPr>
          <w:rFonts w:ascii="Arial" w:eastAsia="Arial" w:hAnsi="Arial" w:cs="Arial"/>
          <w:b/>
          <w:bCs/>
          <w:spacing w:val="1"/>
          <w:sz w:val="24"/>
          <w:szCs w:val="24"/>
        </w:rPr>
        <w:t>soit</w:t>
      </w:r>
      <w:r w:rsidRPr="005B6722">
        <w:rPr>
          <w:rFonts w:ascii="Arial" w:eastAsia="Arial" w:hAnsi="Arial" w:cs="Arial"/>
          <w:b/>
          <w:bCs/>
          <w:spacing w:val="1"/>
          <w:sz w:val="24"/>
          <w:szCs w:val="24"/>
        </w:rPr>
        <w:t xml:space="preserve"> énoncé dans les règlements administratifs de la société (sous réserve de certaines </w:t>
      </w:r>
      <w:r w:rsidR="005B6722" w:rsidRPr="005B6722">
        <w:rPr>
          <w:rFonts w:ascii="Arial" w:eastAsia="Arial" w:hAnsi="Arial" w:cs="Arial"/>
          <w:b/>
          <w:bCs/>
          <w:spacing w:val="1"/>
          <w:sz w:val="24"/>
          <w:szCs w:val="24"/>
        </w:rPr>
        <w:t>restrictions</w:t>
      </w:r>
      <w:r w:rsidRPr="005B6722">
        <w:rPr>
          <w:rFonts w:ascii="Arial" w:eastAsia="Arial" w:hAnsi="Arial" w:cs="Arial"/>
          <w:b/>
          <w:bCs/>
          <w:spacing w:val="1"/>
          <w:sz w:val="24"/>
          <w:szCs w:val="24"/>
        </w:rPr>
        <w:t>).</w:t>
      </w:r>
    </w:p>
    <w:p w:rsidR="00047FAE" w:rsidRDefault="00047FAE">
      <w:pPr>
        <w:spacing w:line="240" w:lineRule="exact"/>
        <w:rPr>
          <w:sz w:val="24"/>
          <w:szCs w:val="24"/>
        </w:rPr>
      </w:pPr>
    </w:p>
    <w:p w:rsidR="00047FAE" w:rsidRDefault="00C03D76">
      <w:pPr>
        <w:pStyle w:val="BodyText"/>
        <w:ind w:right="117"/>
        <w:jc w:val="both"/>
      </w:pPr>
      <w:r w:rsidRPr="005B6722">
        <w:rPr>
          <w:spacing w:val="2"/>
        </w:rPr>
        <w:t>Le mécanisme de convocation d’une assemblée des actionnaires d’une société faisant appel au public</w:t>
      </w:r>
      <w:r w:rsidR="005B6722" w:rsidRPr="005B6722">
        <w:rPr>
          <w:spacing w:val="2"/>
        </w:rPr>
        <w:t xml:space="preserve"> </w:t>
      </w:r>
      <w:r w:rsidRPr="005B6722">
        <w:rPr>
          <w:spacing w:val="2"/>
        </w:rPr>
        <w:t>diffère du mécanisme de convocation d’une assemblée des actionnaires de sociétés ne faisant pas appel au public.</w:t>
      </w:r>
      <w:r w:rsidR="007309FF">
        <w:rPr>
          <w:spacing w:val="24"/>
        </w:rPr>
        <w:t xml:space="preserve"> </w:t>
      </w:r>
      <w:r w:rsidRPr="005B6722">
        <w:t>La société faisant appel au public doit donner un avis de convocation pas moins de 21 jours avant l’assemblée, doit solliciter des procurations et doit remettre une circulaire d’</w:t>
      </w:r>
      <w:r w:rsidRPr="005B6722">
        <w:rPr>
          <w:spacing w:val="-3"/>
        </w:rPr>
        <w:t>i</w:t>
      </w:r>
      <w:r w:rsidRPr="005B6722">
        <w:rPr>
          <w:spacing w:val="-2"/>
        </w:rPr>
        <w:t>n</w:t>
      </w:r>
      <w:r w:rsidRPr="005B6722">
        <w:rPr>
          <w:spacing w:val="2"/>
        </w:rPr>
        <w:t>f</w:t>
      </w:r>
      <w:r w:rsidRPr="005B6722">
        <w:t>o</w:t>
      </w:r>
      <w:r w:rsidRPr="005B6722">
        <w:rPr>
          <w:spacing w:val="-4"/>
        </w:rPr>
        <w:t>r</w:t>
      </w:r>
      <w:r w:rsidRPr="005B6722">
        <w:rPr>
          <w:spacing w:val="1"/>
        </w:rPr>
        <w:t>m</w:t>
      </w:r>
      <w:r w:rsidRPr="005B6722">
        <w:t>at</w:t>
      </w:r>
      <w:r w:rsidRPr="005B6722">
        <w:rPr>
          <w:spacing w:val="-3"/>
        </w:rPr>
        <w:t>i</w:t>
      </w:r>
      <w:r w:rsidRPr="005B6722">
        <w:t>on aux actionnaires en lien avec l’assemblée.</w:t>
      </w:r>
      <w:r w:rsidR="007309FF">
        <w:rPr>
          <w:spacing w:val="8"/>
        </w:rPr>
        <w:t xml:space="preserve"> </w:t>
      </w:r>
      <w:r w:rsidRPr="005B6722">
        <w:t xml:space="preserve">La société ne faisant appel au public doit donner un avis de convocation pas moins de 10 jours avant l’assemblée, </w:t>
      </w:r>
      <w:r w:rsidR="005B6722" w:rsidRPr="005B6722">
        <w:t xml:space="preserve">et </w:t>
      </w:r>
      <w:r w:rsidRPr="005B6722">
        <w:t>n’a pas besoin de solliciter des procurations ou de remettre une circulaire d’information aux actionnaires en lien avec l’assemblée.</w:t>
      </w:r>
      <w:r w:rsidR="007309FF">
        <w:rPr>
          <w:spacing w:val="40"/>
        </w:rPr>
        <w:t xml:space="preserve"> </w:t>
      </w:r>
      <w:r w:rsidRPr="005B6722">
        <w:rPr>
          <w:spacing w:val="-1"/>
        </w:rPr>
        <w:t xml:space="preserve">Toutefois, puisqu’une proposition </w:t>
      </w:r>
      <w:r w:rsidR="005B6722" w:rsidRPr="005B6722">
        <w:rPr>
          <w:spacing w:val="-1"/>
        </w:rPr>
        <w:t xml:space="preserve">relèverait de </w:t>
      </w:r>
      <w:r w:rsidR="008366F7" w:rsidRPr="005B6722">
        <w:rPr>
          <w:spacing w:val="-1"/>
        </w:rPr>
        <w:t>« questions particulières », la société est obligée de remettre aux actionnaires une déclaration au sujet de la</w:t>
      </w:r>
      <w:r w:rsidR="00CF37B1" w:rsidRPr="005B6722">
        <w:rPr>
          <w:spacing w:val="-1"/>
        </w:rPr>
        <w:t xml:space="preserve"> nature de ces questions (compor</w:t>
      </w:r>
      <w:r w:rsidR="008366F7" w:rsidRPr="005B6722">
        <w:rPr>
          <w:spacing w:val="-1"/>
        </w:rPr>
        <w:t xml:space="preserve">tant suffisamment de détails pour que les actionnaires puissent </w:t>
      </w:r>
      <w:r w:rsidR="00CF37B1" w:rsidRPr="005B6722">
        <w:rPr>
          <w:spacing w:val="-1"/>
        </w:rPr>
        <w:t>porter un jugement éclairé) de même que le tex</w:t>
      </w:r>
      <w:r w:rsidR="00AF24A3" w:rsidRPr="005B6722">
        <w:rPr>
          <w:spacing w:val="-1"/>
        </w:rPr>
        <w:t xml:space="preserve">te de toute résolution extraordinaire </w:t>
      </w:r>
      <w:r w:rsidR="00CF37B1" w:rsidRPr="005B6722">
        <w:rPr>
          <w:spacing w:val="-1"/>
        </w:rPr>
        <w:t>ou r</w:t>
      </w:r>
      <w:r w:rsidR="00AF24A3" w:rsidRPr="005B6722">
        <w:rPr>
          <w:spacing w:val="-1"/>
        </w:rPr>
        <w:t>èglement administratif</w:t>
      </w:r>
      <w:r w:rsidR="00CF37B1" w:rsidRPr="005B6722">
        <w:rPr>
          <w:spacing w:val="-1"/>
        </w:rPr>
        <w:t xml:space="preserve"> devant être présenté à l’assemblée.</w:t>
      </w:r>
    </w:p>
    <w:p w:rsidR="00047FAE" w:rsidRDefault="00047FAE">
      <w:pPr>
        <w:spacing w:line="240" w:lineRule="exact"/>
        <w:rPr>
          <w:sz w:val="24"/>
          <w:szCs w:val="24"/>
        </w:rPr>
      </w:pPr>
    </w:p>
    <w:p w:rsidR="00047FAE" w:rsidRDefault="00EB17FC">
      <w:pPr>
        <w:pStyle w:val="BodyText"/>
        <w:ind w:right="116"/>
        <w:jc w:val="both"/>
      </w:pPr>
      <w:r w:rsidRPr="005B6722">
        <w:t xml:space="preserve">Les actionnaires de toutes les sociétés (faisant appel au public et ne faisant pas appel au public) doivent </w:t>
      </w:r>
      <w:r w:rsidR="009E5272" w:rsidRPr="005B6722">
        <w:t>envoyer leurs propositions pas plus de 60 jours avant la date d’</w:t>
      </w:r>
      <w:r w:rsidR="00432ED7" w:rsidRPr="005B6722">
        <w:t>annivers</w:t>
      </w:r>
      <w:r w:rsidR="009E5272" w:rsidRPr="005B6722">
        <w:t>aire de la dernière assemblée annuelle.</w:t>
      </w:r>
      <w:r w:rsidR="007309FF">
        <w:rPr>
          <w:spacing w:val="8"/>
        </w:rPr>
        <w:t xml:space="preserve"> </w:t>
      </w:r>
      <w:r w:rsidR="00432ED7" w:rsidRPr="00503332">
        <w:t>Selon nous, les sociétés ne faisant pas appel au public et leurs actionnaires devraient avoir le droit de préciser dans leurs règlements adminis</w:t>
      </w:r>
      <w:r w:rsidR="005B6722" w:rsidRPr="00503332">
        <w:t>tratifs le délai dans lequel les</w:t>
      </w:r>
      <w:r w:rsidR="00432ED7" w:rsidRPr="00503332">
        <w:t xml:space="preserve"> actionnaires doivent envoyer leurs propositions.</w:t>
      </w:r>
      <w:r w:rsidR="007309FF">
        <w:rPr>
          <w:spacing w:val="8"/>
        </w:rPr>
        <w:t xml:space="preserve"> </w:t>
      </w:r>
      <w:r w:rsidR="00432ED7" w:rsidRPr="004D4B21">
        <w:rPr>
          <w:spacing w:val="-1"/>
        </w:rPr>
        <w:t>La direction a besoin de temps pour traiter les propositions reçues (notamment pour élaborer sa réponse et intégrer tant la proposition que sa réponse à la documentation fournie aux actionnaires dans le cadre de l’assemblée</w:t>
      </w:r>
      <w:r w:rsidR="00503332" w:rsidRPr="004D4B21">
        <w:rPr>
          <w:spacing w:val="-1"/>
        </w:rPr>
        <w:t>)</w:t>
      </w:r>
      <w:r w:rsidR="00432ED7" w:rsidRPr="004D4B21">
        <w:rPr>
          <w:spacing w:val="-1"/>
        </w:rPr>
        <w:t>.</w:t>
      </w:r>
      <w:r w:rsidR="007309FF">
        <w:rPr>
          <w:spacing w:val="39"/>
        </w:rPr>
        <w:t xml:space="preserve"> </w:t>
      </w:r>
      <w:r w:rsidR="003571DA" w:rsidRPr="004D4B21">
        <w:t xml:space="preserve">Par conséquent, le délai que devraient permettre les règlements administratifs </w:t>
      </w:r>
      <w:r w:rsidR="00EB6EE5" w:rsidRPr="004D4B21">
        <w:t>ne devrait pas être inférieur à dix jours, et ne devrait pas être supérieur à 60 jours.</w:t>
      </w:r>
    </w:p>
    <w:p w:rsidR="00047FAE" w:rsidRDefault="00047FAE">
      <w:pPr>
        <w:spacing w:line="240" w:lineRule="exact"/>
        <w:rPr>
          <w:sz w:val="24"/>
          <w:szCs w:val="24"/>
        </w:rPr>
      </w:pPr>
    </w:p>
    <w:p w:rsidR="00047FAE" w:rsidRPr="004D4B21" w:rsidRDefault="005B1E13" w:rsidP="00D172C3">
      <w:pPr>
        <w:numPr>
          <w:ilvl w:val="0"/>
          <w:numId w:val="26"/>
        </w:numPr>
        <w:tabs>
          <w:tab w:val="left" w:pos="840"/>
        </w:tabs>
        <w:ind w:left="840" w:right="3646"/>
        <w:jc w:val="both"/>
        <w:rPr>
          <w:rFonts w:ascii="Arial" w:eastAsia="Arial" w:hAnsi="Arial" w:cs="Arial"/>
          <w:sz w:val="24"/>
          <w:szCs w:val="24"/>
        </w:rPr>
      </w:pPr>
      <w:bookmarkStart w:id="38" w:name="4._Cash_Collateral"/>
      <w:bookmarkEnd w:id="38"/>
      <w:r w:rsidRPr="004D4B21">
        <w:rPr>
          <w:rFonts w:ascii="Arial" w:eastAsia="Arial" w:hAnsi="Arial" w:cs="Arial"/>
          <w:b/>
          <w:bCs/>
          <w:spacing w:val="-1"/>
          <w:sz w:val="24"/>
          <w:szCs w:val="24"/>
        </w:rPr>
        <w:t>Garantie</w:t>
      </w:r>
      <w:r w:rsidR="004D4B21" w:rsidRPr="004D4B21">
        <w:rPr>
          <w:rFonts w:ascii="Arial" w:eastAsia="Arial" w:hAnsi="Arial" w:cs="Arial"/>
          <w:b/>
          <w:bCs/>
          <w:spacing w:val="-1"/>
          <w:sz w:val="24"/>
          <w:szCs w:val="24"/>
        </w:rPr>
        <w:t>s</w:t>
      </w:r>
      <w:r w:rsidRPr="004D4B21">
        <w:rPr>
          <w:rFonts w:ascii="Arial" w:eastAsia="Arial" w:hAnsi="Arial" w:cs="Arial"/>
          <w:b/>
          <w:bCs/>
          <w:spacing w:val="-1"/>
          <w:sz w:val="24"/>
          <w:szCs w:val="24"/>
        </w:rPr>
        <w:t xml:space="preserve"> </w:t>
      </w:r>
      <w:r w:rsidR="00D72439" w:rsidRPr="004D4B21">
        <w:rPr>
          <w:rFonts w:ascii="Arial" w:eastAsia="Arial" w:hAnsi="Arial" w:cs="Arial"/>
          <w:b/>
          <w:bCs/>
          <w:spacing w:val="-1"/>
          <w:sz w:val="24"/>
          <w:szCs w:val="24"/>
        </w:rPr>
        <w:t>en espèces</w:t>
      </w:r>
    </w:p>
    <w:p w:rsidR="00047FAE" w:rsidRDefault="00047FAE">
      <w:pPr>
        <w:spacing w:line="240" w:lineRule="exact"/>
        <w:rPr>
          <w:sz w:val="24"/>
          <w:szCs w:val="24"/>
        </w:rPr>
      </w:pPr>
    </w:p>
    <w:p w:rsidR="00047FAE" w:rsidRDefault="00D72439">
      <w:pPr>
        <w:ind w:left="120" w:right="115"/>
        <w:jc w:val="both"/>
        <w:rPr>
          <w:rFonts w:ascii="Arial" w:eastAsia="Arial" w:hAnsi="Arial" w:cs="Arial"/>
          <w:sz w:val="24"/>
          <w:szCs w:val="24"/>
        </w:rPr>
      </w:pPr>
      <w:r w:rsidRPr="00AA4F07">
        <w:rPr>
          <w:rFonts w:ascii="Arial" w:eastAsia="Arial" w:hAnsi="Arial" w:cs="Arial"/>
          <w:b/>
          <w:bCs/>
          <w:spacing w:val="1"/>
          <w:sz w:val="24"/>
          <w:szCs w:val="24"/>
        </w:rPr>
        <w:t>Nous recommandons que la LSM soit modifiée pour perme</w:t>
      </w:r>
      <w:r w:rsidR="005B1E13" w:rsidRPr="00AA4F07">
        <w:rPr>
          <w:rFonts w:ascii="Arial" w:eastAsia="Arial" w:hAnsi="Arial" w:cs="Arial"/>
          <w:b/>
          <w:bCs/>
          <w:spacing w:val="1"/>
          <w:sz w:val="24"/>
          <w:szCs w:val="24"/>
        </w:rPr>
        <w:t>ttre aux sûretés d</w:t>
      </w:r>
      <w:r w:rsidR="00AA4F07" w:rsidRPr="00AA4F07">
        <w:rPr>
          <w:rFonts w:ascii="Arial" w:eastAsia="Arial" w:hAnsi="Arial" w:cs="Arial"/>
          <w:b/>
          <w:bCs/>
          <w:spacing w:val="1"/>
          <w:sz w:val="24"/>
          <w:szCs w:val="24"/>
        </w:rPr>
        <w:t>’une</w:t>
      </w:r>
      <w:r w:rsidR="005B1E13" w:rsidRPr="00AA4F07">
        <w:rPr>
          <w:rFonts w:ascii="Arial" w:eastAsia="Arial" w:hAnsi="Arial" w:cs="Arial"/>
          <w:b/>
          <w:bCs/>
          <w:spacing w:val="1"/>
          <w:sz w:val="24"/>
          <w:szCs w:val="24"/>
        </w:rPr>
        <w:t xml:space="preserve"> garantie</w:t>
      </w:r>
      <w:r w:rsidRPr="00AA4F07">
        <w:rPr>
          <w:rFonts w:ascii="Arial" w:eastAsia="Arial" w:hAnsi="Arial" w:cs="Arial"/>
          <w:b/>
          <w:bCs/>
          <w:spacing w:val="1"/>
          <w:sz w:val="24"/>
          <w:szCs w:val="24"/>
        </w:rPr>
        <w:t xml:space="preserve"> en espèces d’être rendues opposables par « maîtrise », ce qui assurerait aux créanciers garantis la première priorité à l’égard d</w:t>
      </w:r>
      <w:r w:rsidR="00BF16F8" w:rsidRPr="00AA4F07">
        <w:rPr>
          <w:rFonts w:ascii="Arial" w:eastAsia="Arial" w:hAnsi="Arial" w:cs="Arial"/>
          <w:b/>
          <w:bCs/>
          <w:spacing w:val="1"/>
          <w:sz w:val="24"/>
          <w:szCs w:val="24"/>
        </w:rPr>
        <w:t>es sûretés pour ladite garantie</w:t>
      </w:r>
      <w:r w:rsidRPr="00AA4F07">
        <w:rPr>
          <w:rFonts w:ascii="Arial" w:eastAsia="Arial" w:hAnsi="Arial" w:cs="Arial"/>
          <w:b/>
          <w:bCs/>
          <w:spacing w:val="1"/>
          <w:sz w:val="24"/>
          <w:szCs w:val="24"/>
        </w:rPr>
        <w:t>.</w:t>
      </w:r>
      <w:r w:rsidR="007309FF">
        <w:rPr>
          <w:rFonts w:ascii="Arial" w:eastAsia="Arial" w:hAnsi="Arial" w:cs="Arial"/>
          <w:b/>
          <w:bCs/>
          <w:spacing w:val="44"/>
          <w:sz w:val="24"/>
          <w:szCs w:val="24"/>
        </w:rPr>
        <w:t xml:space="preserve"> </w:t>
      </w:r>
      <w:r w:rsidRPr="00AA4F07">
        <w:rPr>
          <w:rFonts w:ascii="Arial" w:eastAsia="Arial" w:hAnsi="Arial" w:cs="Arial"/>
          <w:b/>
          <w:bCs/>
          <w:spacing w:val="-1"/>
          <w:sz w:val="24"/>
          <w:szCs w:val="24"/>
        </w:rPr>
        <w:t>Cependant, afin de dissiper les inquiétudes exprimées par certaines parties prenantes représentant les bénéficiaires de pension, nous recommandons également l’apport d’une autre modification favorisant la conservation de la priorité accordée en vertu de l’</w:t>
      </w:r>
      <w:r w:rsidR="00E47CE3" w:rsidRPr="00AA4F07">
        <w:rPr>
          <w:rFonts w:ascii="Arial" w:eastAsia="Arial" w:hAnsi="Arial" w:cs="Arial"/>
          <w:b/>
          <w:bCs/>
          <w:spacing w:val="-1"/>
          <w:sz w:val="24"/>
          <w:szCs w:val="24"/>
        </w:rPr>
        <w:t>article</w:t>
      </w:r>
      <w:r w:rsidRPr="00AA4F07">
        <w:rPr>
          <w:rFonts w:ascii="Arial" w:eastAsia="Arial" w:hAnsi="Arial" w:cs="Arial"/>
          <w:b/>
          <w:bCs/>
          <w:spacing w:val="-1"/>
          <w:sz w:val="24"/>
          <w:szCs w:val="24"/>
        </w:rPr>
        <w:t xml:space="preserve"> 30 (7) à l’égard de tous les comptes de dépôt autres que ceux qui servent de « </w:t>
      </w:r>
      <w:r w:rsidR="00BF16F8" w:rsidRPr="00AA4F07">
        <w:rPr>
          <w:rFonts w:ascii="Arial" w:eastAsia="Arial" w:hAnsi="Arial" w:cs="Arial"/>
          <w:b/>
          <w:bCs/>
          <w:spacing w:val="-1"/>
          <w:sz w:val="24"/>
          <w:szCs w:val="24"/>
        </w:rPr>
        <w:t>garantie</w:t>
      </w:r>
      <w:r w:rsidRPr="00AA4F07">
        <w:rPr>
          <w:rFonts w:ascii="Arial" w:eastAsia="Arial" w:hAnsi="Arial" w:cs="Arial"/>
          <w:b/>
          <w:bCs/>
          <w:spacing w:val="-1"/>
          <w:sz w:val="24"/>
          <w:szCs w:val="24"/>
        </w:rPr>
        <w:t xml:space="preserve"> financi</w:t>
      </w:r>
      <w:r w:rsidR="00BF16F8" w:rsidRPr="00AA4F07">
        <w:rPr>
          <w:rFonts w:ascii="Arial" w:eastAsia="Arial" w:hAnsi="Arial" w:cs="Arial"/>
          <w:b/>
          <w:bCs/>
          <w:spacing w:val="-1"/>
          <w:sz w:val="24"/>
          <w:szCs w:val="24"/>
        </w:rPr>
        <w:t>ère</w:t>
      </w:r>
      <w:r w:rsidRPr="00AA4F07">
        <w:rPr>
          <w:rFonts w:ascii="Arial" w:eastAsia="Arial" w:hAnsi="Arial" w:cs="Arial"/>
          <w:b/>
          <w:bCs/>
          <w:spacing w:val="-1"/>
          <w:sz w:val="24"/>
          <w:szCs w:val="24"/>
        </w:rPr>
        <w:t xml:space="preserve"> » pour les </w:t>
      </w:r>
      <w:r w:rsidRPr="00AA4F07">
        <w:rPr>
          <w:rFonts w:ascii="Arial" w:eastAsia="Arial" w:hAnsi="Arial" w:cs="Arial"/>
          <w:b/>
          <w:bCs/>
          <w:spacing w:val="-1"/>
          <w:sz w:val="24"/>
          <w:szCs w:val="24"/>
        </w:rPr>
        <w:lastRenderedPageBreak/>
        <w:t xml:space="preserve">« contrats financiers admissibles », comme </w:t>
      </w:r>
      <w:r w:rsidR="004F7AB8">
        <w:rPr>
          <w:rFonts w:ascii="Arial" w:eastAsia="Arial" w:hAnsi="Arial" w:cs="Arial"/>
          <w:b/>
          <w:bCs/>
          <w:spacing w:val="-1"/>
          <w:sz w:val="24"/>
          <w:szCs w:val="24"/>
        </w:rPr>
        <w:t>définis</w:t>
      </w:r>
      <w:r w:rsidRPr="00AA4F07">
        <w:rPr>
          <w:rFonts w:ascii="Arial" w:eastAsia="Arial" w:hAnsi="Arial" w:cs="Arial"/>
          <w:b/>
          <w:bCs/>
          <w:spacing w:val="-1"/>
          <w:sz w:val="24"/>
          <w:szCs w:val="24"/>
        </w:rPr>
        <w:t xml:space="preserve"> dans les règlements afférents à la </w:t>
      </w:r>
      <w:r w:rsidRPr="00AA4F07">
        <w:rPr>
          <w:rFonts w:ascii="Arial" w:eastAsia="Arial" w:hAnsi="Arial" w:cs="Arial"/>
          <w:b/>
          <w:bCs/>
          <w:i/>
          <w:spacing w:val="-1"/>
          <w:sz w:val="24"/>
          <w:szCs w:val="24"/>
        </w:rPr>
        <w:t>Loi sur la faillite et l’insolvabilité</w:t>
      </w:r>
      <w:r w:rsidRPr="00AA4F07">
        <w:rPr>
          <w:rFonts w:ascii="Arial" w:eastAsia="Arial" w:hAnsi="Arial" w:cs="Arial"/>
          <w:b/>
          <w:bCs/>
          <w:spacing w:val="-1"/>
          <w:sz w:val="24"/>
          <w:szCs w:val="24"/>
        </w:rPr>
        <w:t>, dont la définition comprend la</w:t>
      </w:r>
      <w:r w:rsidR="00D63B2B" w:rsidRPr="00AA4F07">
        <w:rPr>
          <w:rFonts w:ascii="Arial" w:eastAsia="Arial" w:hAnsi="Arial" w:cs="Arial"/>
          <w:b/>
          <w:bCs/>
          <w:spacing w:val="-1"/>
          <w:sz w:val="24"/>
          <w:szCs w:val="24"/>
        </w:rPr>
        <w:t xml:space="preserve"> plupart des formes de </w:t>
      </w:r>
      <w:r w:rsidRPr="00AA4F07">
        <w:rPr>
          <w:rFonts w:ascii="Arial" w:eastAsia="Arial" w:hAnsi="Arial" w:cs="Arial"/>
          <w:b/>
          <w:bCs/>
          <w:spacing w:val="-1"/>
          <w:sz w:val="24"/>
          <w:szCs w:val="24"/>
        </w:rPr>
        <w:t>dérivés hors cote.</w:t>
      </w:r>
    </w:p>
    <w:p w:rsidR="00047FAE" w:rsidRDefault="00047FAE">
      <w:pPr>
        <w:spacing w:line="240" w:lineRule="exact"/>
        <w:rPr>
          <w:sz w:val="24"/>
          <w:szCs w:val="24"/>
        </w:rPr>
      </w:pPr>
    </w:p>
    <w:p w:rsidR="00047FAE" w:rsidRDefault="00D72439">
      <w:pPr>
        <w:pStyle w:val="BodyText"/>
        <w:ind w:right="116"/>
        <w:jc w:val="both"/>
      </w:pPr>
      <w:r w:rsidRPr="00AA4F07">
        <w:rPr>
          <w:spacing w:val="2"/>
        </w:rPr>
        <w:t xml:space="preserve">Le groupe de travail du Conseil sur le droit commercial a tenu des réunions qui ont porté fruits avec les ministères concernés afin de considérer si la LSM devrait être modifiée pour </w:t>
      </w:r>
      <w:r w:rsidR="00E638C1" w:rsidRPr="00AA4F07">
        <w:rPr>
          <w:spacing w:val="2"/>
        </w:rPr>
        <w:t>rendre</w:t>
      </w:r>
      <w:r w:rsidRPr="00AA4F07">
        <w:rPr>
          <w:spacing w:val="2"/>
        </w:rPr>
        <w:t xml:space="preserve"> opposables par maîtrise</w:t>
      </w:r>
      <w:r w:rsidR="00E638C1" w:rsidRPr="00AA4F07">
        <w:rPr>
          <w:spacing w:val="2"/>
        </w:rPr>
        <w:t xml:space="preserve"> les espèces servant de </w:t>
      </w:r>
      <w:r w:rsidR="00BF16F8" w:rsidRPr="00AA4F07">
        <w:rPr>
          <w:spacing w:val="2"/>
        </w:rPr>
        <w:t>garanties</w:t>
      </w:r>
      <w:r w:rsidR="00E638C1" w:rsidRPr="00AA4F07">
        <w:rPr>
          <w:spacing w:val="2"/>
        </w:rPr>
        <w:t xml:space="preserve"> pour une variété d'obligations garanties, conformément </w:t>
      </w:r>
      <w:r w:rsidR="00AA4F07" w:rsidRPr="00AA4F07">
        <w:rPr>
          <w:spacing w:val="2"/>
        </w:rPr>
        <w:t>aux</w:t>
      </w:r>
      <w:r w:rsidR="00E638C1" w:rsidRPr="00AA4F07">
        <w:rPr>
          <w:spacing w:val="2"/>
        </w:rPr>
        <w:t xml:space="preserve"> recommanda</w:t>
      </w:r>
      <w:r w:rsidR="00235E52" w:rsidRPr="00AA4F07">
        <w:rPr>
          <w:spacing w:val="2"/>
        </w:rPr>
        <w:t>tion</w:t>
      </w:r>
      <w:r w:rsidR="00AA4F07" w:rsidRPr="00AA4F07">
        <w:rPr>
          <w:spacing w:val="2"/>
        </w:rPr>
        <w:t>s</w:t>
      </w:r>
      <w:r w:rsidR="00235E52" w:rsidRPr="00AA4F07">
        <w:rPr>
          <w:spacing w:val="2"/>
        </w:rPr>
        <w:t xml:space="preserve"> énoncée</w:t>
      </w:r>
      <w:r w:rsidR="00AA4F07" w:rsidRPr="00AA4F07">
        <w:rPr>
          <w:spacing w:val="2"/>
        </w:rPr>
        <w:t>s</w:t>
      </w:r>
      <w:r w:rsidR="00235E52" w:rsidRPr="00AA4F07">
        <w:rPr>
          <w:spacing w:val="2"/>
        </w:rPr>
        <w:t xml:space="preserve"> dans le</w:t>
      </w:r>
      <w:r w:rsidR="00E638C1" w:rsidRPr="00AA4F07">
        <w:rPr>
          <w:spacing w:val="2"/>
        </w:rPr>
        <w:t xml:space="preserve"> rapport du comité et </w:t>
      </w:r>
      <w:r w:rsidR="00AA4F07" w:rsidRPr="00AA4F07">
        <w:rPr>
          <w:spacing w:val="2"/>
        </w:rPr>
        <w:t>aux recommandations de</w:t>
      </w:r>
      <w:r w:rsidR="00235E52" w:rsidRPr="00AA4F07">
        <w:rPr>
          <w:spacing w:val="2"/>
        </w:rPr>
        <w:t xml:space="preserve"> l’ABO.</w:t>
      </w:r>
      <w:r w:rsidR="00E638C1" w:rsidRPr="00AA4F07">
        <w:rPr>
          <w:spacing w:val="2"/>
        </w:rPr>
        <w:t xml:space="preserve"> </w:t>
      </w:r>
    </w:p>
    <w:p w:rsidR="00047FAE" w:rsidRDefault="00047FAE">
      <w:pPr>
        <w:spacing w:line="240" w:lineRule="exact"/>
        <w:rPr>
          <w:sz w:val="24"/>
          <w:szCs w:val="24"/>
        </w:rPr>
      </w:pPr>
    </w:p>
    <w:p w:rsidR="00047FAE" w:rsidRDefault="00394F98" w:rsidP="00D172C3">
      <w:pPr>
        <w:pStyle w:val="BodyText"/>
        <w:ind w:right="118"/>
        <w:jc w:val="both"/>
      </w:pPr>
      <w:r w:rsidRPr="00AA4F07">
        <w:rPr>
          <w:spacing w:val="2"/>
        </w:rPr>
        <w:t>En septembre 2016, la nécessité de réf</w:t>
      </w:r>
      <w:r w:rsidR="005B1E13" w:rsidRPr="00AA4F07">
        <w:rPr>
          <w:spacing w:val="2"/>
        </w:rPr>
        <w:t>ormer le régime des garanties</w:t>
      </w:r>
      <w:r w:rsidRPr="00AA4F07">
        <w:rPr>
          <w:spacing w:val="2"/>
        </w:rPr>
        <w:t xml:space="preserve"> en espèces </w:t>
      </w:r>
      <w:r w:rsidR="00AA4F07" w:rsidRPr="00AA4F07">
        <w:rPr>
          <w:spacing w:val="2"/>
        </w:rPr>
        <w:t>s’est faite plus pressante</w:t>
      </w:r>
      <w:r w:rsidRPr="00AA4F07">
        <w:rPr>
          <w:spacing w:val="2"/>
        </w:rPr>
        <w:t xml:space="preserve"> </w:t>
      </w:r>
      <w:r w:rsidR="00AA4F07" w:rsidRPr="00AA4F07">
        <w:rPr>
          <w:spacing w:val="2"/>
        </w:rPr>
        <w:t>quand</w:t>
      </w:r>
      <w:r w:rsidR="00E2290A" w:rsidRPr="00AA4F07">
        <w:rPr>
          <w:spacing w:val="2"/>
        </w:rPr>
        <w:t xml:space="preserve"> la Ligne directrice E-22 - Exigences de marge pour les dérivés non compensés centralement (la ligne directrice du BSIF) du</w:t>
      </w:r>
      <w:r w:rsidR="00923624" w:rsidRPr="00AA4F07">
        <w:rPr>
          <w:spacing w:val="2"/>
        </w:rPr>
        <w:t xml:space="preserve"> Bureau du surintendant des institutions financi</w:t>
      </w:r>
      <w:r w:rsidR="00E2290A" w:rsidRPr="00AA4F07">
        <w:rPr>
          <w:spacing w:val="2"/>
        </w:rPr>
        <w:t>ères (</w:t>
      </w:r>
      <w:r w:rsidR="00AA4F07" w:rsidRPr="00AA4F07">
        <w:rPr>
          <w:spacing w:val="2"/>
        </w:rPr>
        <w:t xml:space="preserve">le </w:t>
      </w:r>
      <w:r w:rsidR="00E2290A" w:rsidRPr="00AA4F07">
        <w:rPr>
          <w:spacing w:val="2"/>
        </w:rPr>
        <w:t xml:space="preserve">BSIF) </w:t>
      </w:r>
      <w:r w:rsidR="00923624" w:rsidRPr="00AA4F07">
        <w:rPr>
          <w:spacing w:val="2"/>
        </w:rPr>
        <w:t xml:space="preserve">du gouvernement fédéral </w:t>
      </w:r>
      <w:r w:rsidR="00E2290A" w:rsidRPr="00AA4F07">
        <w:rPr>
          <w:spacing w:val="2"/>
        </w:rPr>
        <w:t xml:space="preserve">est entrée en vigueur dans le cas des </w:t>
      </w:r>
      <w:r w:rsidR="00A454B5" w:rsidRPr="00AA4F07">
        <w:rPr>
          <w:spacing w:val="2"/>
        </w:rPr>
        <w:t>établissements financiers les plus grands et revêtant la plus grande importance systémique,</w:t>
      </w:r>
      <w:r w:rsidR="00D172C3">
        <w:rPr>
          <w:spacing w:val="2"/>
        </w:rPr>
        <w:t xml:space="preserve"> </w:t>
      </w:r>
      <w:r w:rsidR="00A454B5" w:rsidRPr="00AA4F07">
        <w:rPr>
          <w:spacing w:val="-1"/>
        </w:rPr>
        <w:t>ce qui sera suivi d’exigences semblables pour les établissements de moindre envergure, progressivement au cours des quatre années qui viennent.</w:t>
      </w:r>
      <w:r w:rsidR="007309FF">
        <w:rPr>
          <w:spacing w:val="32"/>
        </w:rPr>
        <w:t xml:space="preserve"> </w:t>
      </w:r>
      <w:r w:rsidR="00E14E40" w:rsidRPr="00AA4F07">
        <w:t xml:space="preserve">Afin de s’acquitter des obligations du </w:t>
      </w:r>
      <w:r w:rsidR="00E14E40" w:rsidRPr="00AA4F07">
        <w:rPr>
          <w:spacing w:val="-3"/>
        </w:rPr>
        <w:t>C</w:t>
      </w:r>
      <w:r w:rsidR="00E14E40" w:rsidRPr="00AA4F07">
        <w:t>an</w:t>
      </w:r>
      <w:r w:rsidR="00E14E40" w:rsidRPr="00AA4F07">
        <w:rPr>
          <w:spacing w:val="-2"/>
        </w:rPr>
        <w:t>a</w:t>
      </w:r>
      <w:r w:rsidR="00E14E40" w:rsidRPr="00AA4F07">
        <w:t xml:space="preserve">da à l’égard du G-20 et conformément aux normes américaines et </w:t>
      </w:r>
      <w:r w:rsidR="00E14E40" w:rsidRPr="00AA4F07">
        <w:rPr>
          <w:spacing w:val="-1"/>
        </w:rPr>
        <w:t>i</w:t>
      </w:r>
      <w:r w:rsidR="00E14E40" w:rsidRPr="00AA4F07">
        <w:t>nte</w:t>
      </w:r>
      <w:r w:rsidR="00E14E40" w:rsidRPr="00AA4F07">
        <w:rPr>
          <w:spacing w:val="-1"/>
        </w:rPr>
        <w:t>r</w:t>
      </w:r>
      <w:r w:rsidR="00E14E40" w:rsidRPr="00AA4F07">
        <w:rPr>
          <w:spacing w:val="-2"/>
        </w:rPr>
        <w:t>n</w:t>
      </w:r>
      <w:r w:rsidR="00E14E40" w:rsidRPr="00AA4F07">
        <w:t>at</w:t>
      </w:r>
      <w:r w:rsidR="00E14E40" w:rsidRPr="00AA4F07">
        <w:rPr>
          <w:spacing w:val="-1"/>
        </w:rPr>
        <w:t>i</w:t>
      </w:r>
      <w:r w:rsidR="00E14E40" w:rsidRPr="00AA4F07">
        <w:t>o</w:t>
      </w:r>
      <w:r w:rsidR="00E14E40" w:rsidRPr="00AA4F07">
        <w:rPr>
          <w:spacing w:val="-2"/>
        </w:rPr>
        <w:t>n</w:t>
      </w:r>
      <w:r w:rsidR="00E14E40" w:rsidRPr="00AA4F07">
        <w:t xml:space="preserve">ales, </w:t>
      </w:r>
      <w:r w:rsidR="00EE0DB3" w:rsidRPr="00AA4F07">
        <w:t xml:space="preserve">la ligne directrice du BSIF </w:t>
      </w:r>
      <w:r w:rsidR="00CB75E0" w:rsidRPr="00AA4F07">
        <w:t xml:space="preserve">exige des contreparties aux dérivés hors cote non </w:t>
      </w:r>
      <w:r w:rsidR="00D63B2B" w:rsidRPr="00AA4F07">
        <w:t>compen</w:t>
      </w:r>
      <w:r w:rsidR="00CB75E0" w:rsidRPr="00AA4F07">
        <w:t xml:space="preserve">sés centralement </w:t>
      </w:r>
      <w:r w:rsidR="00AA4F07" w:rsidRPr="00AA4F07">
        <w:t>qu’elles i</w:t>
      </w:r>
      <w:r w:rsidR="00FB7BB7" w:rsidRPr="00AA4F07">
        <w:t>nscri</w:t>
      </w:r>
      <w:r w:rsidR="00AA4F07" w:rsidRPr="00AA4F07">
        <w:t>vent</w:t>
      </w:r>
      <w:r w:rsidR="00FB7BB7" w:rsidRPr="00AA4F07">
        <w:t xml:space="preserve"> des </w:t>
      </w:r>
      <w:r w:rsidR="003F6873" w:rsidRPr="00AA4F07">
        <w:t>marges initiales</w:t>
      </w:r>
      <w:r w:rsidR="00FB7BB7" w:rsidRPr="00AA4F07">
        <w:t xml:space="preserve"> et des marges de variation en guise de </w:t>
      </w:r>
      <w:r w:rsidR="009A3583" w:rsidRPr="00AA4F07">
        <w:t>sûreté pour leurs ob</w:t>
      </w:r>
      <w:r w:rsidR="009A3583" w:rsidRPr="00AA4F07">
        <w:rPr>
          <w:spacing w:val="-1"/>
        </w:rPr>
        <w:t>li</w:t>
      </w:r>
      <w:r w:rsidR="009A3583" w:rsidRPr="00AA4F07">
        <w:rPr>
          <w:spacing w:val="-2"/>
        </w:rPr>
        <w:t>g</w:t>
      </w:r>
      <w:r w:rsidR="009A3583" w:rsidRPr="00AA4F07">
        <w:t>at</w:t>
      </w:r>
      <w:r w:rsidR="009A3583" w:rsidRPr="00AA4F07">
        <w:rPr>
          <w:spacing w:val="-1"/>
        </w:rPr>
        <w:t>i</w:t>
      </w:r>
      <w:r w:rsidR="009A3583" w:rsidRPr="00AA4F07">
        <w:t>ons.</w:t>
      </w:r>
      <w:r w:rsidR="00FB7BB7" w:rsidRPr="00AA4F07">
        <w:t xml:space="preserve"> </w:t>
      </w:r>
      <w:r w:rsidR="007309FF">
        <w:rPr>
          <w:spacing w:val="4"/>
        </w:rPr>
        <w:t xml:space="preserve"> </w:t>
      </w:r>
      <w:r w:rsidR="009A3583" w:rsidRPr="005F4C4B">
        <w:t xml:space="preserve">Même si les marges n’ont pas besoin d’être en espèces, on s’attend </w:t>
      </w:r>
      <w:r w:rsidR="00AA4F07" w:rsidRPr="005F4C4B">
        <w:t xml:space="preserve">à ce </w:t>
      </w:r>
      <w:r w:rsidR="009A3583" w:rsidRPr="005F4C4B">
        <w:t>qu’au fur et à mesure que les sources d’autres fo</w:t>
      </w:r>
      <w:r w:rsidR="00561EE6" w:rsidRPr="005F4C4B">
        <w:t xml:space="preserve">rmes de </w:t>
      </w:r>
      <w:r w:rsidR="00BF16F8" w:rsidRPr="005F4C4B">
        <w:t>garanties</w:t>
      </w:r>
      <w:r w:rsidR="00561EE6" w:rsidRPr="005F4C4B">
        <w:t xml:space="preserve"> (comme les titres négociables de premier ordre) s’épuiseront en raison de la demande accrue, les espè</w:t>
      </w:r>
      <w:r w:rsidR="005F4C4B" w:rsidRPr="005F4C4B">
        <w:t>ces dev</w:t>
      </w:r>
      <w:r w:rsidR="00561EE6" w:rsidRPr="005F4C4B">
        <w:t>iendront une solution de rechange de plus en plus importante.</w:t>
      </w:r>
    </w:p>
    <w:p w:rsidR="00047FAE" w:rsidRDefault="00047FAE">
      <w:pPr>
        <w:spacing w:line="240" w:lineRule="exact"/>
        <w:rPr>
          <w:sz w:val="24"/>
          <w:szCs w:val="24"/>
        </w:rPr>
      </w:pPr>
    </w:p>
    <w:p w:rsidR="00047FAE" w:rsidRDefault="00B71484">
      <w:pPr>
        <w:pStyle w:val="BodyText"/>
        <w:ind w:left="100" w:right="116"/>
        <w:jc w:val="both"/>
      </w:pPr>
      <w:r w:rsidRPr="005F4C4B">
        <w:rPr>
          <w:spacing w:val="2"/>
        </w:rPr>
        <w:t>L’incapacité à rendre opposable une s</w:t>
      </w:r>
      <w:r w:rsidR="003F6873" w:rsidRPr="005F4C4B">
        <w:rPr>
          <w:spacing w:val="2"/>
        </w:rPr>
        <w:t>ûreté dans une telle</w:t>
      </w:r>
      <w:r w:rsidR="005B1E13" w:rsidRPr="005F4C4B">
        <w:rPr>
          <w:spacing w:val="2"/>
        </w:rPr>
        <w:t xml:space="preserve"> situation de garantie </w:t>
      </w:r>
      <w:r w:rsidRPr="005F4C4B">
        <w:rPr>
          <w:spacing w:val="2"/>
        </w:rPr>
        <w:t xml:space="preserve">en espèces par maîtrise pourrait </w:t>
      </w:r>
      <w:r w:rsidR="00C70920" w:rsidRPr="005F4C4B">
        <w:rPr>
          <w:spacing w:val="2"/>
        </w:rPr>
        <w:t xml:space="preserve">constituer un important facteur dissuasif aux contreparties </w:t>
      </w:r>
      <w:r w:rsidR="00CA4563" w:rsidRPr="005F4C4B">
        <w:rPr>
          <w:spacing w:val="2"/>
        </w:rPr>
        <w:t xml:space="preserve">entrant dans le secteur des dérivés hors cote en </w:t>
      </w:r>
      <w:r w:rsidR="003F6873" w:rsidRPr="005F4C4B">
        <w:t>Onta</w:t>
      </w:r>
      <w:r w:rsidR="003F6873" w:rsidRPr="005F4C4B">
        <w:rPr>
          <w:spacing w:val="-1"/>
        </w:rPr>
        <w:t>ri</w:t>
      </w:r>
      <w:r w:rsidR="003F6873" w:rsidRPr="005F4C4B">
        <w:t>o</w:t>
      </w:r>
      <w:r w:rsidR="00CA4563" w:rsidRPr="005F4C4B">
        <w:t>, car seule la maîtrise peut donner l’assurance d’une s</w:t>
      </w:r>
      <w:r w:rsidR="003F6873" w:rsidRPr="005F4C4B">
        <w:t>ûreté de première priorité</w:t>
      </w:r>
      <w:r w:rsidR="00483CF2" w:rsidRPr="005F4C4B">
        <w:t xml:space="preserve"> qui, en pratique, ne peut s’obtenir au moyen d’un enregistrement </w:t>
      </w:r>
      <w:r w:rsidR="00EB0F03" w:rsidRPr="005F4C4B">
        <w:t>en vertu de la LSM.</w:t>
      </w:r>
      <w:r w:rsidR="007309FF">
        <w:rPr>
          <w:spacing w:val="27"/>
        </w:rPr>
        <w:t xml:space="preserve"> </w:t>
      </w:r>
      <w:r w:rsidR="00492756" w:rsidRPr="00826A2E">
        <w:rPr>
          <w:spacing w:val="2"/>
        </w:rPr>
        <w:t>Par cons</w:t>
      </w:r>
      <w:r w:rsidR="005F4C4B" w:rsidRPr="00826A2E">
        <w:rPr>
          <w:spacing w:val="2"/>
        </w:rPr>
        <w:t>é</w:t>
      </w:r>
      <w:r w:rsidR="00492756" w:rsidRPr="00826A2E">
        <w:rPr>
          <w:spacing w:val="2"/>
        </w:rPr>
        <w:t>quent, l’</w:t>
      </w:r>
      <w:r w:rsidR="00492756" w:rsidRPr="00826A2E">
        <w:t>abs</w:t>
      </w:r>
      <w:r w:rsidR="00492756" w:rsidRPr="00826A2E">
        <w:rPr>
          <w:spacing w:val="-2"/>
        </w:rPr>
        <w:t>e</w:t>
      </w:r>
      <w:r w:rsidR="00492756" w:rsidRPr="00826A2E">
        <w:t>nce d’un régime de ma</w:t>
      </w:r>
      <w:r w:rsidR="005B1E13" w:rsidRPr="00826A2E">
        <w:t>îtrise de garanties</w:t>
      </w:r>
      <w:r w:rsidR="00492756" w:rsidRPr="00826A2E">
        <w:t xml:space="preserve"> en espèces a créé un désavantage</w:t>
      </w:r>
      <w:r w:rsidR="00EA21F4" w:rsidRPr="00826A2E">
        <w:t xml:space="preserve"> concurrentiel</w:t>
      </w:r>
      <w:r w:rsidR="00492756" w:rsidRPr="00826A2E">
        <w:t xml:space="preserve"> pour les Ontariens comparativement aux autres ressorts qui sont dotés de tels régimes, comme les États-Unis, le Royaume-Uni, l’Union européenne et, plus récemment, le Québec qui a modifié son </w:t>
      </w:r>
      <w:r w:rsidR="00492756" w:rsidRPr="00826A2E">
        <w:rPr>
          <w:i/>
        </w:rPr>
        <w:t>Code civil</w:t>
      </w:r>
      <w:r w:rsidR="00492756" w:rsidRPr="00826A2E">
        <w:t xml:space="preserve"> pour favoriser la ma</w:t>
      </w:r>
      <w:r w:rsidR="005B1E13" w:rsidRPr="00826A2E">
        <w:t>îtrise des garanties</w:t>
      </w:r>
      <w:r w:rsidR="00492756" w:rsidRPr="00826A2E">
        <w:t xml:space="preserve"> en espèces le 1</w:t>
      </w:r>
      <w:r w:rsidR="00492756" w:rsidRPr="00826A2E">
        <w:rPr>
          <w:vertAlign w:val="superscript"/>
        </w:rPr>
        <w:t>er</w:t>
      </w:r>
      <w:r w:rsidR="00492756" w:rsidRPr="00826A2E">
        <w:t xml:space="preserve"> janvier </w:t>
      </w:r>
      <w:r w:rsidR="00EA21F4" w:rsidRPr="00826A2E">
        <w:t>2</w:t>
      </w:r>
      <w:r w:rsidR="00492756" w:rsidRPr="00826A2E">
        <w:t>016.</w:t>
      </w:r>
    </w:p>
    <w:p w:rsidR="00047FAE" w:rsidRDefault="00047FAE">
      <w:pPr>
        <w:spacing w:line="240" w:lineRule="exact"/>
        <w:rPr>
          <w:sz w:val="24"/>
          <w:szCs w:val="24"/>
        </w:rPr>
      </w:pPr>
    </w:p>
    <w:p w:rsidR="00047FAE" w:rsidRDefault="001E506F">
      <w:pPr>
        <w:pStyle w:val="BodyText"/>
        <w:ind w:left="100" w:right="115"/>
        <w:jc w:val="both"/>
      </w:pPr>
      <w:r w:rsidRPr="007B5FED">
        <w:rPr>
          <w:spacing w:val="-1"/>
        </w:rPr>
        <w:t>La discussion entourant les garanties en espèces a principalement porté sur la meilleure manière de</w:t>
      </w:r>
      <w:r w:rsidR="003A519D" w:rsidRPr="007B5FED">
        <w:rPr>
          <w:spacing w:val="-1"/>
        </w:rPr>
        <w:t xml:space="preserve"> dissiper les inquiétudes exprimées par certain</w:t>
      </w:r>
      <w:r w:rsidR="00F71D97" w:rsidRPr="007B5FED">
        <w:rPr>
          <w:spacing w:val="-1"/>
        </w:rPr>
        <w:t>e</w:t>
      </w:r>
      <w:r w:rsidR="003A519D" w:rsidRPr="007B5FED">
        <w:rPr>
          <w:spacing w:val="-1"/>
        </w:rPr>
        <w:t xml:space="preserve">s </w:t>
      </w:r>
      <w:r w:rsidR="00F71D97" w:rsidRPr="007B5FED">
        <w:rPr>
          <w:spacing w:val="-1"/>
        </w:rPr>
        <w:t>parties prenantes</w:t>
      </w:r>
      <w:r w:rsidR="003A519D" w:rsidRPr="007B5FED">
        <w:rPr>
          <w:spacing w:val="-1"/>
        </w:rPr>
        <w:t xml:space="preserve">, inquiétudes selon lesquelles le régime proposé de maîtrise des garanties en espèces pourrait mettre en jeu la priorité dont bénéficient actuellement les pensionnés et les employés en vertu du paragraphe 30 (7) de la LSM, qui prévoit qu’une sûreté </w:t>
      </w:r>
      <w:r w:rsidR="008B57FC" w:rsidRPr="007B5FED">
        <w:rPr>
          <w:spacing w:val="-1"/>
        </w:rPr>
        <w:t>sur</w:t>
      </w:r>
      <w:r w:rsidR="003A519D" w:rsidRPr="007B5FED">
        <w:rPr>
          <w:spacing w:val="-1"/>
        </w:rPr>
        <w:t xml:space="preserve"> un « compte » est subordonnée </w:t>
      </w:r>
      <w:r w:rsidR="008B57FC" w:rsidRPr="007B5FED">
        <w:rPr>
          <w:spacing w:val="-1"/>
        </w:rPr>
        <w:t xml:space="preserve">à l’intérêt du bénéficiaire d’une fiducie réputée telle aux termes de la </w:t>
      </w:r>
      <w:r w:rsidR="008B57FC" w:rsidRPr="007B5FED">
        <w:rPr>
          <w:i/>
          <w:spacing w:val="-1"/>
        </w:rPr>
        <w:t xml:space="preserve">Loi sur les normes d’emploi </w:t>
      </w:r>
      <w:r w:rsidR="008B57FC" w:rsidRPr="007B5FED">
        <w:rPr>
          <w:spacing w:val="-1"/>
        </w:rPr>
        <w:t xml:space="preserve">ou de la </w:t>
      </w:r>
      <w:r w:rsidR="008B57FC" w:rsidRPr="007B5FED">
        <w:rPr>
          <w:i/>
          <w:spacing w:val="-1"/>
        </w:rPr>
        <w:t xml:space="preserve">Loi sur les régimes de retraite </w:t>
      </w:r>
      <w:r w:rsidR="008B57FC" w:rsidRPr="007B5FED">
        <w:rPr>
          <w:spacing w:val="-1"/>
        </w:rPr>
        <w:t xml:space="preserve">(ou, aussi, aux termes des modifications qui seront bientôt adoptées, en vertu de la </w:t>
      </w:r>
      <w:r w:rsidR="008B57FC" w:rsidRPr="007B5FED">
        <w:rPr>
          <w:i/>
          <w:spacing w:val="-1"/>
        </w:rPr>
        <w:t>Loi de 2015 sur les régimes de pension agréés collectifs</w:t>
      </w:r>
      <w:r w:rsidR="008B57FC" w:rsidRPr="007B5FED">
        <w:rPr>
          <w:spacing w:val="-1"/>
        </w:rPr>
        <w:t>).</w:t>
      </w:r>
    </w:p>
    <w:p w:rsidR="00047FAE" w:rsidRDefault="00047FAE">
      <w:pPr>
        <w:spacing w:line="240" w:lineRule="exact"/>
        <w:rPr>
          <w:sz w:val="24"/>
          <w:szCs w:val="24"/>
        </w:rPr>
      </w:pPr>
    </w:p>
    <w:p w:rsidR="00047FAE" w:rsidRDefault="007B5FED">
      <w:pPr>
        <w:pStyle w:val="BodyText"/>
        <w:ind w:left="100" w:right="117"/>
        <w:jc w:val="both"/>
      </w:pPr>
      <w:r w:rsidRPr="00AA668C">
        <w:rPr>
          <w:spacing w:val="2"/>
        </w:rPr>
        <w:t>Conformément à</w:t>
      </w:r>
      <w:r w:rsidR="008B57FC" w:rsidRPr="00AA668C">
        <w:rPr>
          <w:spacing w:val="2"/>
        </w:rPr>
        <w:t xml:space="preserve"> la LSM, la définition de « compte » comprend en ce moment les comptes de dépôt, tandis que les modifications que propose l’ABO à cette définition</w:t>
      </w:r>
      <w:r w:rsidR="00404E1A" w:rsidRPr="00AA668C">
        <w:rPr>
          <w:spacing w:val="2"/>
        </w:rPr>
        <w:t xml:space="preserve"> </w:t>
      </w:r>
      <w:r w:rsidR="004F7AB8">
        <w:rPr>
          <w:spacing w:val="2"/>
        </w:rPr>
        <w:t>excluraient</w:t>
      </w:r>
      <w:r w:rsidR="00F71D97" w:rsidRPr="00AA668C">
        <w:rPr>
          <w:spacing w:val="2"/>
        </w:rPr>
        <w:t>, en fait, tous les comptes de dépôt, qui seraient alors assujettis au nouveau régime de maîtrise.</w:t>
      </w:r>
      <w:r w:rsidR="007309FF">
        <w:rPr>
          <w:spacing w:val="37"/>
        </w:rPr>
        <w:t xml:space="preserve"> </w:t>
      </w:r>
      <w:r w:rsidR="00F71D97" w:rsidRPr="00AA668C">
        <w:rPr>
          <w:spacing w:val="2"/>
        </w:rPr>
        <w:t xml:space="preserve">Cela signifierait que les fiducies réputées dont il est </w:t>
      </w:r>
      <w:r w:rsidR="00F71D97" w:rsidRPr="00AA668C">
        <w:rPr>
          <w:spacing w:val="2"/>
        </w:rPr>
        <w:lastRenderedPageBreak/>
        <w:t>question à l’</w:t>
      </w:r>
      <w:r w:rsidR="00E47CE3" w:rsidRPr="00AA668C">
        <w:rPr>
          <w:spacing w:val="2"/>
        </w:rPr>
        <w:t>article</w:t>
      </w:r>
      <w:r w:rsidR="00F71D97" w:rsidRPr="00AA668C">
        <w:rPr>
          <w:spacing w:val="2"/>
        </w:rPr>
        <w:t xml:space="preserve"> 30</w:t>
      </w:r>
      <w:r w:rsidR="00AA668C" w:rsidRPr="00AA668C">
        <w:rPr>
          <w:spacing w:val="2"/>
        </w:rPr>
        <w:t> </w:t>
      </w:r>
      <w:r w:rsidR="00F71D97" w:rsidRPr="00AA668C">
        <w:rPr>
          <w:spacing w:val="2"/>
        </w:rPr>
        <w:t>(7) pourraient se classer derrière une sûreté sur compte de dépôt d’un commanditaire de régime de retraite ou d’un employeur rendue opposable par la nouvelle méthode de maîtrise.</w:t>
      </w:r>
    </w:p>
    <w:p w:rsidR="00047FAE" w:rsidRDefault="00047FAE">
      <w:pPr>
        <w:spacing w:line="240" w:lineRule="exact"/>
        <w:rPr>
          <w:sz w:val="24"/>
          <w:szCs w:val="24"/>
        </w:rPr>
      </w:pPr>
    </w:p>
    <w:p w:rsidR="00047FAE" w:rsidRDefault="00F71D97">
      <w:pPr>
        <w:pStyle w:val="BodyText"/>
        <w:ind w:left="100" w:right="117"/>
        <w:jc w:val="both"/>
      </w:pPr>
      <w:r w:rsidRPr="00DC7E5B">
        <w:t>Par le fait même, d’autres parties prenantes se sont avouées inquiètes de ce qui suit : si les comptes de dépôt cont</w:t>
      </w:r>
      <w:r w:rsidRPr="00DC7E5B">
        <w:rPr>
          <w:spacing w:val="-1"/>
        </w:rPr>
        <w:t>i</w:t>
      </w:r>
      <w:r w:rsidRPr="00DC7E5B">
        <w:rPr>
          <w:spacing w:val="-2"/>
        </w:rPr>
        <w:t>n</w:t>
      </w:r>
      <w:r w:rsidRPr="00DC7E5B">
        <w:t>uent d’être assujettis à la subordination en vertu de l’</w:t>
      </w:r>
      <w:r w:rsidR="00E47CE3" w:rsidRPr="00DC7E5B">
        <w:t>article</w:t>
      </w:r>
      <w:r w:rsidRPr="00DC7E5B">
        <w:t> 30 (7), une grande partie de l’avantage recherché par le régime de maîtrise proposé</w:t>
      </w:r>
      <w:r w:rsidR="00637DDA" w:rsidRPr="00DC7E5B">
        <w:t xml:space="preserve"> se perdrait, car la sûreté d’une contrepartie garantie au moyen de garanties en espèces et attribuées au compte de dépôt d’une contrepartie pourrait être assujetti à la fiducie réputée, y compris le montant souvent non identifiable et potentiellement très élevé </w:t>
      </w:r>
      <w:r w:rsidR="00F5432F" w:rsidRPr="00DC7E5B">
        <w:t>d’une insuffisance de liquidation à l’égard d’un régime de pension à prestations déterminées.</w:t>
      </w:r>
    </w:p>
    <w:p w:rsidR="00047FAE" w:rsidRDefault="00047FAE">
      <w:pPr>
        <w:spacing w:line="240" w:lineRule="exact"/>
        <w:rPr>
          <w:sz w:val="24"/>
          <w:szCs w:val="24"/>
        </w:rPr>
      </w:pPr>
    </w:p>
    <w:p w:rsidR="00047FAE" w:rsidRDefault="00F5432F">
      <w:pPr>
        <w:pStyle w:val="BodyText"/>
        <w:ind w:left="100" w:right="116"/>
        <w:jc w:val="both"/>
      </w:pPr>
      <w:r w:rsidRPr="00DC7E5B">
        <w:rPr>
          <w:spacing w:val="2"/>
        </w:rPr>
        <w:t>Afin de dissiper ces deux inquiétudes opposées, un compromis a été proposé, favorisant la conservation de la priorité accordée en vertu de l’</w:t>
      </w:r>
      <w:r w:rsidR="00E47CE3" w:rsidRPr="00DC7E5B">
        <w:rPr>
          <w:spacing w:val="2"/>
        </w:rPr>
        <w:t>article</w:t>
      </w:r>
      <w:r w:rsidRPr="00DC7E5B">
        <w:rPr>
          <w:spacing w:val="2"/>
        </w:rPr>
        <w:t xml:space="preserve"> 30 (7) à l’égard de tous les comptes de dépôt autres que ceux qui servent de «garantie financière » pour les « contrats financiers admissibles », comme </w:t>
      </w:r>
      <w:r w:rsidR="004F7AB8">
        <w:rPr>
          <w:spacing w:val="2"/>
        </w:rPr>
        <w:t>définis</w:t>
      </w:r>
      <w:r w:rsidRPr="00DC7E5B">
        <w:rPr>
          <w:spacing w:val="2"/>
        </w:rPr>
        <w:t xml:space="preserve"> dans les règlements afférents à la </w:t>
      </w:r>
      <w:r w:rsidRPr="00DC7E5B">
        <w:rPr>
          <w:i/>
          <w:spacing w:val="2"/>
        </w:rPr>
        <w:t>Loi sur la faillite et l’insolvabilité</w:t>
      </w:r>
      <w:r w:rsidRPr="00DC7E5B">
        <w:rPr>
          <w:spacing w:val="2"/>
        </w:rPr>
        <w:t>, dont la définition comprend la plupart des formes de dérivés hors cote.</w:t>
      </w:r>
    </w:p>
    <w:p w:rsidR="00047FAE" w:rsidRDefault="00047FAE">
      <w:pPr>
        <w:spacing w:line="200" w:lineRule="exact"/>
        <w:rPr>
          <w:sz w:val="20"/>
          <w:szCs w:val="20"/>
        </w:rPr>
      </w:pPr>
    </w:p>
    <w:p w:rsidR="00047FAE" w:rsidRDefault="00F5432F">
      <w:pPr>
        <w:pStyle w:val="BodyText"/>
        <w:spacing w:before="69"/>
        <w:ind w:right="115"/>
        <w:jc w:val="both"/>
      </w:pPr>
      <w:r w:rsidRPr="005364C1">
        <w:rPr>
          <w:spacing w:val="2"/>
        </w:rPr>
        <w:t xml:space="preserve">La définition révisée du « compte » continuerait d’exclure les comptes de dépôt, et ceux-ci seraient assujettis au régime </w:t>
      </w:r>
      <w:r w:rsidR="002F3A12" w:rsidRPr="005364C1">
        <w:rPr>
          <w:spacing w:val="2"/>
        </w:rPr>
        <w:t xml:space="preserve">d’opposabilité par maîtrise, mais un ajout </w:t>
      </w:r>
      <w:r w:rsidR="00963649" w:rsidRPr="005364C1">
        <w:rPr>
          <w:spacing w:val="2"/>
        </w:rPr>
        <w:t>à la défini</w:t>
      </w:r>
      <w:r w:rsidR="005364C1" w:rsidRPr="005364C1">
        <w:rPr>
          <w:spacing w:val="2"/>
        </w:rPr>
        <w:t>ti</w:t>
      </w:r>
      <w:r w:rsidR="00963649" w:rsidRPr="005364C1">
        <w:rPr>
          <w:spacing w:val="2"/>
        </w:rPr>
        <w:t>on remettrait dans</w:t>
      </w:r>
      <w:r w:rsidR="002F3A12" w:rsidRPr="005364C1">
        <w:rPr>
          <w:spacing w:val="2"/>
        </w:rPr>
        <w:t xml:space="preserve"> la définition de « compte », telle qu’employée à l’</w:t>
      </w:r>
      <w:r w:rsidR="00E47CE3" w:rsidRPr="005364C1">
        <w:rPr>
          <w:spacing w:val="2"/>
        </w:rPr>
        <w:t>article</w:t>
      </w:r>
      <w:r w:rsidR="002F3A12" w:rsidRPr="005364C1">
        <w:rPr>
          <w:spacing w:val="2"/>
        </w:rPr>
        <w:t xml:space="preserve"> 30</w:t>
      </w:r>
      <w:r w:rsidR="005364C1" w:rsidRPr="005364C1">
        <w:rPr>
          <w:spacing w:val="2"/>
        </w:rPr>
        <w:t> </w:t>
      </w:r>
      <w:r w:rsidR="002F3A12" w:rsidRPr="005364C1">
        <w:rPr>
          <w:spacing w:val="2"/>
        </w:rPr>
        <w:t>(7)</w:t>
      </w:r>
      <w:r w:rsidR="00963649" w:rsidRPr="005364C1">
        <w:rPr>
          <w:spacing w:val="2"/>
        </w:rPr>
        <w:t>,</w:t>
      </w:r>
      <w:r w:rsidR="002F3A12" w:rsidRPr="005364C1">
        <w:rPr>
          <w:spacing w:val="2"/>
        </w:rPr>
        <w:t xml:space="preserve"> tous les comptes de dépôt qui ne servent pas de « garantie financière ».</w:t>
      </w:r>
      <w:r w:rsidR="007309FF">
        <w:rPr>
          <w:spacing w:val="58"/>
        </w:rPr>
        <w:t xml:space="preserve"> </w:t>
      </w:r>
      <w:r w:rsidR="00963649" w:rsidRPr="005364C1">
        <w:rPr>
          <w:spacing w:val="-1"/>
        </w:rPr>
        <w:t>Par conséquent, les sûretés se trouvant dans tous les comptes de dépôt, sauf ceux qui servent de garantie financière, seraient toujours assujetti</w:t>
      </w:r>
      <w:r w:rsidR="00991900" w:rsidRPr="005364C1">
        <w:rPr>
          <w:spacing w:val="-1"/>
        </w:rPr>
        <w:t>e</w:t>
      </w:r>
      <w:r w:rsidR="00963649" w:rsidRPr="005364C1">
        <w:rPr>
          <w:spacing w:val="-1"/>
        </w:rPr>
        <w:t>s</w:t>
      </w:r>
      <w:r w:rsidR="00991900" w:rsidRPr="005364C1">
        <w:rPr>
          <w:spacing w:val="-1"/>
        </w:rPr>
        <w:t xml:space="preserve"> à la subordination des fiducies réputées en vertu de l’</w:t>
      </w:r>
      <w:r w:rsidR="00E47CE3" w:rsidRPr="005364C1">
        <w:rPr>
          <w:spacing w:val="-1"/>
        </w:rPr>
        <w:t>article</w:t>
      </w:r>
      <w:r w:rsidR="00991900" w:rsidRPr="005364C1">
        <w:rPr>
          <w:spacing w:val="-1"/>
        </w:rPr>
        <w:t xml:space="preserve"> 30 (7), même si ces sûretés sont rendues opposables par maîtrise</w:t>
      </w:r>
      <w:r w:rsidR="005364C1" w:rsidRPr="005364C1">
        <w:rPr>
          <w:spacing w:val="-1"/>
        </w:rPr>
        <w:t>, ce qui en assurerait autrement la</w:t>
      </w:r>
      <w:r w:rsidR="005252BD" w:rsidRPr="005364C1">
        <w:rPr>
          <w:spacing w:val="-1"/>
        </w:rPr>
        <w:t xml:space="preserve"> première priorité.</w:t>
      </w:r>
      <w:r w:rsidR="007309FF">
        <w:t xml:space="preserve"> </w:t>
      </w:r>
      <w:r w:rsidR="005252BD" w:rsidRPr="005364C1">
        <w:t>Seuls les comptes de dépôt qui servent de garantie financière aux dérivés hors cote bénéficieraient d’une priorité par rapport aux fiducies réputées de l’</w:t>
      </w:r>
      <w:r w:rsidR="00E47CE3" w:rsidRPr="005364C1">
        <w:t>article</w:t>
      </w:r>
      <w:r w:rsidR="005252BD" w:rsidRPr="005364C1">
        <w:t xml:space="preserve"> 30 (7).</w:t>
      </w:r>
      <w:r w:rsidR="007309FF">
        <w:rPr>
          <w:spacing w:val="21"/>
        </w:rPr>
        <w:t xml:space="preserve"> </w:t>
      </w:r>
      <w:r w:rsidR="005252BD" w:rsidRPr="005364C1">
        <w:t>Tous les autres comptes de dépôt du débiteur seraient toujours assujettis à une subordination potentielle en vertu de l’</w:t>
      </w:r>
      <w:r w:rsidR="00E47CE3" w:rsidRPr="005364C1">
        <w:t>article</w:t>
      </w:r>
      <w:r w:rsidR="005252BD" w:rsidRPr="005364C1">
        <w:t xml:space="preserve"> 30 (7), même si les sûretés qui s’y trouvent étaient rendues opposables par maîtrise.</w:t>
      </w:r>
    </w:p>
    <w:p w:rsidR="00047FAE" w:rsidRDefault="00047FAE">
      <w:pPr>
        <w:spacing w:line="240" w:lineRule="exact"/>
        <w:rPr>
          <w:sz w:val="24"/>
          <w:szCs w:val="24"/>
        </w:rPr>
      </w:pPr>
    </w:p>
    <w:p w:rsidR="00047FAE" w:rsidRDefault="00AF4344">
      <w:pPr>
        <w:pStyle w:val="BodyText"/>
        <w:ind w:right="114"/>
        <w:jc w:val="both"/>
      </w:pPr>
      <w:r w:rsidRPr="00924C19">
        <w:rPr>
          <w:spacing w:val="2"/>
        </w:rPr>
        <w:t>Cela donnerait aux contreparties ayant fait un échange l’</w:t>
      </w:r>
      <w:r w:rsidRPr="00924C19">
        <w:t>as</w:t>
      </w:r>
      <w:r w:rsidRPr="00924C19">
        <w:rPr>
          <w:spacing w:val="-3"/>
        </w:rPr>
        <w:t>s</w:t>
      </w:r>
      <w:r w:rsidRPr="00924C19">
        <w:t>u</w:t>
      </w:r>
      <w:r w:rsidRPr="00924C19">
        <w:rPr>
          <w:spacing w:val="-1"/>
        </w:rPr>
        <w:t>r</w:t>
      </w:r>
      <w:r w:rsidRPr="00924C19">
        <w:t>ance d’avoir l’avantage d’une position de première priorité en ce qui a trait aux comptes de dépôt servant de garantie aux dérivés hors cote en tant que « contrats financiers admissibles »</w:t>
      </w:r>
      <w:r w:rsidR="00F94AE7" w:rsidRPr="00924C19">
        <w:t xml:space="preserve">, </w:t>
      </w:r>
      <w:r w:rsidR="00DB45C0" w:rsidRPr="00924C19">
        <w:t>tout en conservant la priorité accordée par l’</w:t>
      </w:r>
      <w:r w:rsidR="00E47CE3" w:rsidRPr="00924C19">
        <w:t>article</w:t>
      </w:r>
      <w:r w:rsidR="00DB45C0" w:rsidRPr="00924C19">
        <w:t xml:space="preserve"> 30 (7) en ce qui a trait à tous les autres comptes de dépôt du commanditaire du régime ou de l'employeur qui servent de garanties en espèces, y compris ceux pour lesquels une sûreté a été accordée dans le but de garantir les ob</w:t>
      </w:r>
      <w:r w:rsidR="00DB45C0" w:rsidRPr="00924C19">
        <w:rPr>
          <w:spacing w:val="-1"/>
        </w:rPr>
        <w:t>li</w:t>
      </w:r>
      <w:r w:rsidR="00DB45C0" w:rsidRPr="00924C19">
        <w:rPr>
          <w:spacing w:val="-2"/>
        </w:rPr>
        <w:t>g</w:t>
      </w:r>
      <w:r w:rsidR="00DB45C0" w:rsidRPr="00924C19">
        <w:t>at</w:t>
      </w:r>
      <w:r w:rsidR="00DB45C0" w:rsidRPr="00924C19">
        <w:rPr>
          <w:spacing w:val="-1"/>
        </w:rPr>
        <w:t>i</w:t>
      </w:r>
      <w:r w:rsidR="00DB45C0" w:rsidRPr="00924C19">
        <w:t xml:space="preserve">ons </w:t>
      </w:r>
      <w:r w:rsidR="00157D4B" w:rsidRPr="00924C19">
        <w:t xml:space="preserve">à l’égard de produits </w:t>
      </w:r>
      <w:r w:rsidR="004F7AB8">
        <w:t>non dérivés</w:t>
      </w:r>
      <w:r w:rsidR="00DB45C0" w:rsidRPr="00924C19">
        <w:t>.</w:t>
      </w:r>
      <w:r w:rsidRPr="00924C19">
        <w:t xml:space="preserve"> </w:t>
      </w:r>
    </w:p>
    <w:p w:rsidR="00047FAE" w:rsidRDefault="00047FAE">
      <w:pPr>
        <w:spacing w:line="240" w:lineRule="exact"/>
        <w:rPr>
          <w:sz w:val="24"/>
          <w:szCs w:val="24"/>
        </w:rPr>
      </w:pPr>
    </w:p>
    <w:p w:rsidR="00047FAE" w:rsidRDefault="00B0069A">
      <w:pPr>
        <w:pStyle w:val="BodyText"/>
        <w:ind w:right="114" w:firstLine="67"/>
        <w:jc w:val="both"/>
      </w:pPr>
      <w:r w:rsidRPr="00924C19">
        <w:t>Il y a lieu de remarquer qu’une telle approche serait conforme au statut particulier accordé aux « contrats financiers admissibles » en vertu des lois régissant les faillites et l’insolvabilité au Canada et dans bien d’autres ressorts</w:t>
      </w:r>
      <w:r w:rsidR="00A55D3E" w:rsidRPr="00924C19">
        <w:t>, qui exempt</w:t>
      </w:r>
      <w:r w:rsidRPr="00924C19">
        <w:t xml:space="preserve">ent généralement la mise en </w:t>
      </w:r>
      <w:r w:rsidR="00123984" w:rsidRPr="00924C19">
        <w:t>exécutio</w:t>
      </w:r>
      <w:r w:rsidRPr="00924C19">
        <w:t xml:space="preserve">n de tels contrats </w:t>
      </w:r>
      <w:r w:rsidR="00123984" w:rsidRPr="00924C19">
        <w:t xml:space="preserve">des suspensions d’instance qui ont un effet sur d’autres </w:t>
      </w:r>
      <w:r w:rsidR="00123984" w:rsidRPr="00924C19">
        <w:rPr>
          <w:spacing w:val="-2"/>
        </w:rPr>
        <w:t>o</w:t>
      </w:r>
      <w:r w:rsidR="00123984" w:rsidRPr="00924C19">
        <w:t>b</w:t>
      </w:r>
      <w:r w:rsidR="00123984" w:rsidRPr="00924C19">
        <w:rPr>
          <w:spacing w:val="-1"/>
        </w:rPr>
        <w:t>li</w:t>
      </w:r>
      <w:r w:rsidR="00123984" w:rsidRPr="00924C19">
        <w:rPr>
          <w:spacing w:val="-2"/>
        </w:rPr>
        <w:t>g</w:t>
      </w:r>
      <w:r w:rsidR="00123984" w:rsidRPr="00924C19">
        <w:t>at</w:t>
      </w:r>
      <w:r w:rsidR="00123984" w:rsidRPr="00924C19">
        <w:rPr>
          <w:spacing w:val="-1"/>
        </w:rPr>
        <w:t>i</w:t>
      </w:r>
      <w:r w:rsidR="00123984" w:rsidRPr="00924C19">
        <w:t>ons de manière générale.</w:t>
      </w:r>
    </w:p>
    <w:p w:rsidR="00047FAE" w:rsidRDefault="00047FAE">
      <w:pPr>
        <w:spacing w:line="240" w:lineRule="exact"/>
        <w:rPr>
          <w:sz w:val="24"/>
          <w:szCs w:val="24"/>
        </w:rPr>
      </w:pPr>
    </w:p>
    <w:p w:rsidR="00D172C3" w:rsidRDefault="00D172C3">
      <w:pPr>
        <w:spacing w:line="240" w:lineRule="exact"/>
        <w:rPr>
          <w:sz w:val="24"/>
          <w:szCs w:val="24"/>
        </w:rPr>
      </w:pPr>
    </w:p>
    <w:p w:rsidR="00D172C3" w:rsidRDefault="00D172C3">
      <w:pPr>
        <w:spacing w:line="240" w:lineRule="exact"/>
        <w:rPr>
          <w:sz w:val="24"/>
          <w:szCs w:val="24"/>
        </w:rPr>
      </w:pPr>
    </w:p>
    <w:p w:rsidR="00D172C3" w:rsidRDefault="00D172C3">
      <w:pPr>
        <w:spacing w:line="240" w:lineRule="exact"/>
        <w:rPr>
          <w:sz w:val="24"/>
          <w:szCs w:val="24"/>
        </w:rPr>
      </w:pPr>
    </w:p>
    <w:p w:rsidR="00047FAE" w:rsidRPr="00924C19" w:rsidRDefault="00123984" w:rsidP="00D172C3">
      <w:pPr>
        <w:numPr>
          <w:ilvl w:val="0"/>
          <w:numId w:val="26"/>
        </w:numPr>
        <w:tabs>
          <w:tab w:val="left" w:pos="840"/>
        </w:tabs>
        <w:ind w:left="840" w:right="2229"/>
        <w:jc w:val="both"/>
        <w:rPr>
          <w:rFonts w:ascii="Arial" w:eastAsia="Arial" w:hAnsi="Arial" w:cs="Arial"/>
          <w:sz w:val="24"/>
          <w:szCs w:val="24"/>
        </w:rPr>
      </w:pPr>
      <w:bookmarkStart w:id="39" w:name="5._Perfection_by_VIN_in_the_PPSA_and_RSL"/>
      <w:bookmarkEnd w:id="39"/>
      <w:r w:rsidRPr="00924C19">
        <w:rPr>
          <w:rFonts w:ascii="Arial" w:eastAsia="Arial" w:hAnsi="Arial" w:cs="Arial"/>
          <w:b/>
          <w:bCs/>
          <w:sz w:val="24"/>
          <w:szCs w:val="24"/>
        </w:rPr>
        <w:lastRenderedPageBreak/>
        <w:t>Opposabilité par NIV en vertu de la LSM et de la LPRE</w:t>
      </w:r>
    </w:p>
    <w:p w:rsidR="00047FAE" w:rsidRDefault="00047FAE">
      <w:pPr>
        <w:spacing w:line="240" w:lineRule="exact"/>
        <w:rPr>
          <w:sz w:val="24"/>
          <w:szCs w:val="24"/>
        </w:rPr>
      </w:pPr>
    </w:p>
    <w:p w:rsidR="00047FAE" w:rsidRDefault="00123984">
      <w:pPr>
        <w:ind w:left="120" w:right="116"/>
        <w:jc w:val="both"/>
        <w:rPr>
          <w:rFonts w:ascii="Arial" w:eastAsia="Arial" w:hAnsi="Arial" w:cs="Arial"/>
          <w:sz w:val="24"/>
          <w:szCs w:val="24"/>
        </w:rPr>
      </w:pPr>
      <w:r w:rsidRPr="00924C19">
        <w:rPr>
          <w:rFonts w:ascii="Arial" w:eastAsia="Arial" w:hAnsi="Arial" w:cs="Arial"/>
          <w:b/>
          <w:bCs/>
          <w:spacing w:val="1"/>
          <w:sz w:val="24"/>
          <w:szCs w:val="24"/>
        </w:rPr>
        <w:t>Nous recommandons au gouvernement de l’</w:t>
      </w:r>
      <w:r w:rsidRPr="00924C19">
        <w:rPr>
          <w:rFonts w:ascii="Arial" w:eastAsia="Arial" w:hAnsi="Arial" w:cs="Arial"/>
          <w:b/>
          <w:bCs/>
          <w:sz w:val="24"/>
          <w:szCs w:val="24"/>
        </w:rPr>
        <w:t>O</w:t>
      </w:r>
      <w:r w:rsidRPr="00924C19">
        <w:rPr>
          <w:rFonts w:ascii="Arial" w:eastAsia="Arial" w:hAnsi="Arial" w:cs="Arial"/>
          <w:b/>
          <w:bCs/>
          <w:spacing w:val="-1"/>
          <w:sz w:val="24"/>
          <w:szCs w:val="24"/>
        </w:rPr>
        <w:t>nt</w:t>
      </w:r>
      <w:r w:rsidRPr="00924C19">
        <w:rPr>
          <w:rFonts w:ascii="Arial" w:eastAsia="Arial" w:hAnsi="Arial" w:cs="Arial"/>
          <w:b/>
          <w:bCs/>
          <w:sz w:val="24"/>
          <w:szCs w:val="24"/>
        </w:rPr>
        <w:t xml:space="preserve">ario de </w:t>
      </w:r>
      <w:r w:rsidRPr="00924C19">
        <w:rPr>
          <w:rFonts w:ascii="Arial" w:eastAsia="Arial" w:hAnsi="Arial" w:cs="Arial"/>
          <w:b/>
          <w:bCs/>
          <w:spacing w:val="1"/>
          <w:sz w:val="24"/>
          <w:szCs w:val="24"/>
        </w:rPr>
        <w:t xml:space="preserve">codifier la jurisprudence de l’Ontario afin de modifier la LSM et la </w:t>
      </w:r>
      <w:r w:rsidRPr="00924C19">
        <w:rPr>
          <w:rFonts w:ascii="Arial" w:eastAsia="Arial" w:hAnsi="Arial" w:cs="Arial"/>
          <w:b/>
          <w:bCs/>
          <w:i/>
          <w:spacing w:val="1"/>
          <w:sz w:val="24"/>
          <w:szCs w:val="24"/>
        </w:rPr>
        <w:t xml:space="preserve">Loi sur le privilège des réparateurs et des entreposeurs </w:t>
      </w:r>
      <w:r w:rsidRPr="00924C19">
        <w:rPr>
          <w:rFonts w:ascii="Arial" w:eastAsia="Arial" w:hAnsi="Arial" w:cs="Arial"/>
          <w:b/>
          <w:bCs/>
          <w:spacing w:val="1"/>
          <w:sz w:val="24"/>
          <w:szCs w:val="24"/>
        </w:rPr>
        <w:t>(la LPRE) dans le but de confirmer comme rendus opposables les sûretés et les privilèges à l’égard d’un véhicule motorisé décrit correctement dans l’état de financement ou la revendication de privilège au moyen de son numéro d’identification de véhicule (« NIV ») même s’il y a erreur dans le nom du débiteur.</w:t>
      </w:r>
    </w:p>
    <w:p w:rsidR="00047FAE" w:rsidRDefault="00047FAE">
      <w:pPr>
        <w:spacing w:line="240" w:lineRule="exact"/>
        <w:rPr>
          <w:sz w:val="24"/>
          <w:szCs w:val="24"/>
        </w:rPr>
      </w:pPr>
    </w:p>
    <w:p w:rsidR="00047FAE" w:rsidRDefault="00123984">
      <w:pPr>
        <w:pStyle w:val="BodyText"/>
        <w:ind w:right="116"/>
        <w:jc w:val="both"/>
      </w:pPr>
      <w:r w:rsidRPr="00924C19">
        <w:rPr>
          <w:spacing w:val="2"/>
        </w:rPr>
        <w:t xml:space="preserve">Cette recommandation a été formulée par la </w:t>
      </w:r>
      <w:r w:rsidR="00915FEF" w:rsidRPr="00924C19">
        <w:rPr>
          <w:spacing w:val="2"/>
        </w:rPr>
        <w:t>Cour d’appel de l’</w:t>
      </w:r>
      <w:r w:rsidR="00915FEF" w:rsidRPr="00924C19">
        <w:t>Onta</w:t>
      </w:r>
      <w:r w:rsidR="00915FEF" w:rsidRPr="00924C19">
        <w:rPr>
          <w:spacing w:val="-1"/>
        </w:rPr>
        <w:t>ri</w:t>
      </w:r>
      <w:r w:rsidR="00915FEF" w:rsidRPr="00924C19">
        <w:t xml:space="preserve">o dans le jugement qu’elle a rendu à l’égard de </w:t>
      </w:r>
      <w:r w:rsidR="000D7EB0" w:rsidRPr="00924C19">
        <w:t xml:space="preserve">l’affaire Re Lambert, selon laquelle ledit enregistrement avait pour effet de rendre opposable la sûreté par rapport à la garantie du véhicule parce le NIV était indiqué correctement dans l’enregistrement en vertu de la LSM même s’il y avait erreur dans le nom du débiteur, pour lequel la garantie </w:t>
      </w:r>
      <w:r w:rsidR="0082654B" w:rsidRPr="00924C19">
        <w:t>du véhicule était désignée comme « bien de consommation ».</w:t>
      </w:r>
      <w:r w:rsidR="007309FF">
        <w:t xml:space="preserve"> </w:t>
      </w:r>
      <w:r w:rsidR="0082654B" w:rsidRPr="00924C19">
        <w:t>D’autres affaires ont étendu cela aux enregistrements concernant un véhicule utilisé comme « équipement » par le débiteur</w:t>
      </w:r>
      <w:r w:rsidR="005C71C5" w:rsidRPr="00924C19">
        <w:t xml:space="preserve"> commercial</w:t>
      </w:r>
      <w:r w:rsidR="0082654B" w:rsidRPr="00924C19">
        <w:t>.</w:t>
      </w:r>
    </w:p>
    <w:p w:rsidR="00047FAE" w:rsidRDefault="00047FAE">
      <w:pPr>
        <w:spacing w:line="240" w:lineRule="exact"/>
        <w:rPr>
          <w:sz w:val="24"/>
          <w:szCs w:val="24"/>
        </w:rPr>
      </w:pPr>
    </w:p>
    <w:p w:rsidR="00047FAE" w:rsidRDefault="005C71C5">
      <w:pPr>
        <w:pStyle w:val="BodyText"/>
        <w:ind w:right="115"/>
        <w:jc w:val="both"/>
      </w:pPr>
      <w:r w:rsidRPr="00924C19">
        <w:t>Plus de 80 pour cent de tous les enregistrements en vertu de la LSM de l’</w:t>
      </w:r>
      <w:r w:rsidRPr="00924C19">
        <w:rPr>
          <w:spacing w:val="-2"/>
        </w:rPr>
        <w:t>O</w:t>
      </w:r>
      <w:r w:rsidRPr="00924C19">
        <w:t>nta</w:t>
      </w:r>
      <w:r w:rsidRPr="00924C19">
        <w:rPr>
          <w:spacing w:val="-1"/>
        </w:rPr>
        <w:t>r</w:t>
      </w:r>
      <w:r w:rsidRPr="00924C19">
        <w:rPr>
          <w:spacing w:val="-3"/>
        </w:rPr>
        <w:t>i</w:t>
      </w:r>
      <w:r w:rsidRPr="00924C19">
        <w:t>o décrivent un véhicule motorisé.</w:t>
      </w:r>
      <w:r w:rsidR="007309FF">
        <w:rPr>
          <w:spacing w:val="30"/>
        </w:rPr>
        <w:t xml:space="preserve"> </w:t>
      </w:r>
      <w:r w:rsidRPr="00924C19">
        <w:rPr>
          <w:spacing w:val="-2"/>
        </w:rPr>
        <w:t>Il est très difficile d</w:t>
      </w:r>
      <w:r w:rsidR="00924C19" w:rsidRPr="00924C19">
        <w:rPr>
          <w:spacing w:val="-2"/>
        </w:rPr>
        <w:t xml:space="preserve">’orthographier </w:t>
      </w:r>
      <w:r w:rsidRPr="00924C19">
        <w:rPr>
          <w:spacing w:val="-2"/>
        </w:rPr>
        <w:t>avec exactitude le</w:t>
      </w:r>
      <w:r w:rsidR="00924C19" w:rsidRPr="00924C19">
        <w:rPr>
          <w:spacing w:val="-2"/>
        </w:rPr>
        <w:t xml:space="preserve"> nom de</w:t>
      </w:r>
      <w:r w:rsidRPr="00924C19">
        <w:rPr>
          <w:spacing w:val="-2"/>
        </w:rPr>
        <w:t xml:space="preserve">s gens compte tenu de notre </w:t>
      </w:r>
      <w:r w:rsidRPr="00924C19">
        <w:t>po</w:t>
      </w:r>
      <w:r w:rsidRPr="00924C19">
        <w:rPr>
          <w:spacing w:val="-2"/>
        </w:rPr>
        <w:t>p</w:t>
      </w:r>
      <w:r w:rsidRPr="00924C19">
        <w:t>u</w:t>
      </w:r>
      <w:r w:rsidRPr="00924C19">
        <w:rPr>
          <w:spacing w:val="-1"/>
        </w:rPr>
        <w:t>l</w:t>
      </w:r>
      <w:r w:rsidRPr="00924C19">
        <w:t>at</w:t>
      </w:r>
      <w:r w:rsidRPr="00924C19">
        <w:rPr>
          <w:spacing w:val="-1"/>
        </w:rPr>
        <w:t>i</w:t>
      </w:r>
      <w:r w:rsidRPr="00924C19">
        <w:t xml:space="preserve">on variée, dont certaines </w:t>
      </w:r>
      <w:r w:rsidR="00FA3CCC" w:rsidRPr="00924C19">
        <w:t xml:space="preserve">cultures </w:t>
      </w:r>
      <w:r w:rsidRPr="00924C19">
        <w:t xml:space="preserve">ont des conventions </w:t>
      </w:r>
      <w:r w:rsidR="007C4618" w:rsidRPr="00924C19">
        <w:t>d’appellation différentes, surtout lorsque les gens ne se présentent pas chez les concessionnaires ou les garagistes avec leur acte de naissance ou leur</w:t>
      </w:r>
      <w:r w:rsidR="004F7AB8">
        <w:t xml:space="preserve">s </w:t>
      </w:r>
      <w:r w:rsidR="007C4618" w:rsidRPr="00924C19">
        <w:t>documents de citoyenneté canadienne</w:t>
      </w:r>
      <w:r w:rsidR="00FA3CCC" w:rsidRPr="00924C19">
        <w:t>, documents qui, selon la jurisprudence de l’Ontario</w:t>
      </w:r>
      <w:r w:rsidR="003602EA" w:rsidRPr="00924C19">
        <w:t xml:space="preserve">, devraient servir à </w:t>
      </w:r>
      <w:r w:rsidR="00924C19" w:rsidRPr="00924C19">
        <w:t>orthographier le nom d</w:t>
      </w:r>
      <w:r w:rsidR="003602EA" w:rsidRPr="00924C19">
        <w:t>es gens avec exactitude dans le système d’enregistrement informatisé.</w:t>
      </w:r>
      <w:r w:rsidR="00A04950">
        <w:t xml:space="preserve"> </w:t>
      </w:r>
      <w:r w:rsidR="007C4618" w:rsidRPr="00924C19">
        <w:t xml:space="preserve"> </w:t>
      </w:r>
    </w:p>
    <w:p w:rsidR="00047FAE" w:rsidRDefault="00047FAE">
      <w:pPr>
        <w:spacing w:line="240" w:lineRule="exact"/>
        <w:rPr>
          <w:sz w:val="24"/>
          <w:szCs w:val="24"/>
        </w:rPr>
      </w:pPr>
    </w:p>
    <w:p w:rsidR="00047FAE" w:rsidRDefault="003602EA" w:rsidP="00D172C3">
      <w:pPr>
        <w:pStyle w:val="BodyText"/>
        <w:ind w:right="117"/>
        <w:jc w:val="both"/>
      </w:pPr>
      <w:r w:rsidRPr="00924C19">
        <w:rPr>
          <w:spacing w:val="2"/>
        </w:rPr>
        <w:t xml:space="preserve">Cette </w:t>
      </w:r>
      <w:r w:rsidRPr="00924C19">
        <w:t>cod</w:t>
      </w:r>
      <w:r w:rsidRPr="00924C19">
        <w:rPr>
          <w:spacing w:val="-3"/>
        </w:rPr>
        <w:t>i</w:t>
      </w:r>
      <w:r w:rsidRPr="00924C19">
        <w:rPr>
          <w:spacing w:val="2"/>
        </w:rPr>
        <w:t>f</w:t>
      </w:r>
      <w:r w:rsidRPr="00924C19">
        <w:rPr>
          <w:spacing w:val="-1"/>
        </w:rPr>
        <w:t>i</w:t>
      </w:r>
      <w:r w:rsidRPr="00924C19">
        <w:t>c</w:t>
      </w:r>
      <w:r w:rsidRPr="00924C19">
        <w:rPr>
          <w:spacing w:val="-2"/>
        </w:rPr>
        <w:t>a</w:t>
      </w:r>
      <w:r w:rsidRPr="00924C19">
        <w:t>t</w:t>
      </w:r>
      <w:r w:rsidRPr="00924C19">
        <w:rPr>
          <w:spacing w:val="-1"/>
        </w:rPr>
        <w:t>i</w:t>
      </w:r>
      <w:r w:rsidRPr="00924C19">
        <w:t>on</w:t>
      </w:r>
      <w:r w:rsidR="00B531DE" w:rsidRPr="00924C19">
        <w:t xml:space="preserve"> de la jurisprudence de l’On</w:t>
      </w:r>
      <w:r w:rsidR="00B531DE" w:rsidRPr="00924C19">
        <w:rPr>
          <w:spacing w:val="-2"/>
        </w:rPr>
        <w:t>t</w:t>
      </w:r>
      <w:r w:rsidR="00B531DE" w:rsidRPr="00924C19">
        <w:t>a</w:t>
      </w:r>
      <w:r w:rsidR="00B531DE" w:rsidRPr="00924C19">
        <w:rPr>
          <w:spacing w:val="-1"/>
        </w:rPr>
        <w:t>ri</w:t>
      </w:r>
      <w:r w:rsidR="00B531DE" w:rsidRPr="00924C19">
        <w:t xml:space="preserve">o faciliterait l’emploi de la LSM et de la LPRE par les </w:t>
      </w:r>
      <w:r w:rsidR="006A5CA5" w:rsidRPr="00924C19">
        <w:t>déclarants</w:t>
      </w:r>
      <w:r w:rsidR="00722E84" w:rsidRPr="00924C19">
        <w:t xml:space="preserve"> et réduirait les coûts des prêteurs, des locateurs et des réparateurs qui perdent en ce moment</w:t>
      </w:r>
      <w:r w:rsidR="00D172C3">
        <w:t xml:space="preserve"> </w:t>
      </w:r>
      <w:r w:rsidR="00900116" w:rsidRPr="00924C19">
        <w:rPr>
          <w:spacing w:val="-3"/>
        </w:rPr>
        <w:t>la garantie de v</w:t>
      </w:r>
      <w:r w:rsidR="00924C19" w:rsidRPr="00924C19">
        <w:rPr>
          <w:spacing w:val="-3"/>
        </w:rPr>
        <w:t>é</w:t>
      </w:r>
      <w:r w:rsidR="00900116" w:rsidRPr="00924C19">
        <w:rPr>
          <w:spacing w:val="-3"/>
        </w:rPr>
        <w:t>hi</w:t>
      </w:r>
      <w:r w:rsidR="005D0294" w:rsidRPr="00924C19">
        <w:rPr>
          <w:spacing w:val="-3"/>
        </w:rPr>
        <w:t>cules aux mains des syndics de faillite ou des séquestres nommés par les parties garanties en raison d'erreurs dans le nom des débiteurs.</w:t>
      </w:r>
    </w:p>
    <w:p w:rsidR="00047FAE" w:rsidRDefault="00047FAE">
      <w:pPr>
        <w:spacing w:line="240" w:lineRule="exact"/>
        <w:rPr>
          <w:sz w:val="24"/>
          <w:szCs w:val="24"/>
        </w:rPr>
      </w:pPr>
    </w:p>
    <w:p w:rsidR="00047FAE" w:rsidRDefault="009A538C">
      <w:pPr>
        <w:pStyle w:val="BodyText"/>
        <w:ind w:right="117"/>
        <w:jc w:val="both"/>
      </w:pPr>
      <w:r w:rsidRPr="00924C19">
        <w:rPr>
          <w:spacing w:val="2"/>
        </w:rPr>
        <w:t xml:space="preserve">Cette recommandation est conforme à la recommandation </w:t>
      </w:r>
      <w:r w:rsidR="00924C19" w:rsidRPr="00924C19">
        <w:rPr>
          <w:spacing w:val="2"/>
        </w:rPr>
        <w:t xml:space="preserve">du rapport du comité </w:t>
      </w:r>
      <w:r w:rsidR="00A576FB" w:rsidRPr="00924C19">
        <w:rPr>
          <w:spacing w:val="2"/>
        </w:rPr>
        <w:t>voulant que la LPRE soit plus conviviale.</w:t>
      </w:r>
      <w:r w:rsidRPr="00924C19">
        <w:rPr>
          <w:spacing w:val="2"/>
        </w:rPr>
        <w:t xml:space="preserve"> </w:t>
      </w:r>
      <w:r w:rsidR="007309FF">
        <w:rPr>
          <w:spacing w:val="34"/>
        </w:rPr>
        <w:t xml:space="preserve"> </w:t>
      </w:r>
      <w:r w:rsidR="00A576FB" w:rsidRPr="00390CE3">
        <w:rPr>
          <w:spacing w:val="-1"/>
        </w:rPr>
        <w:t xml:space="preserve">La modification concernant le NIV est une modification très utile pour les </w:t>
      </w:r>
      <w:r w:rsidR="00581052" w:rsidRPr="00390CE3">
        <w:rPr>
          <w:spacing w:val="-1"/>
        </w:rPr>
        <w:t>réclamants</w:t>
      </w:r>
      <w:r w:rsidR="00390CE3" w:rsidRPr="00390CE3">
        <w:rPr>
          <w:spacing w:val="-1"/>
        </w:rPr>
        <w:t xml:space="preserve"> en vertu de la LPRE</w:t>
      </w:r>
      <w:r w:rsidR="00581052" w:rsidRPr="00390CE3">
        <w:rPr>
          <w:spacing w:val="-1"/>
        </w:rPr>
        <w:t>, qui ont très peu de chances d</w:t>
      </w:r>
      <w:r w:rsidR="00390CE3" w:rsidRPr="00390CE3">
        <w:rPr>
          <w:spacing w:val="-1"/>
        </w:rPr>
        <w:t>’orthographier correctement le nom des</w:t>
      </w:r>
      <w:r w:rsidR="00581052" w:rsidRPr="00390CE3">
        <w:rPr>
          <w:spacing w:val="-1"/>
        </w:rPr>
        <w:t xml:space="preserve"> personnes dans leurs </w:t>
      </w:r>
      <w:r w:rsidR="00B94D28" w:rsidRPr="00390CE3">
        <w:rPr>
          <w:spacing w:val="-1"/>
        </w:rPr>
        <w:t>privilèges.</w:t>
      </w:r>
    </w:p>
    <w:p w:rsidR="00047FAE" w:rsidRDefault="00047FAE">
      <w:pPr>
        <w:spacing w:line="240" w:lineRule="exact"/>
        <w:rPr>
          <w:sz w:val="24"/>
          <w:szCs w:val="24"/>
        </w:rPr>
      </w:pPr>
    </w:p>
    <w:p w:rsidR="00047FAE" w:rsidRPr="00390CE3" w:rsidRDefault="00B94D28" w:rsidP="00390CE3">
      <w:pPr>
        <w:numPr>
          <w:ilvl w:val="0"/>
          <w:numId w:val="26"/>
        </w:numPr>
        <w:tabs>
          <w:tab w:val="left" w:pos="840"/>
        </w:tabs>
        <w:ind w:left="840" w:right="1678"/>
        <w:jc w:val="both"/>
        <w:rPr>
          <w:rFonts w:ascii="Arial" w:eastAsia="Arial" w:hAnsi="Arial" w:cs="Arial"/>
          <w:sz w:val="24"/>
          <w:szCs w:val="24"/>
        </w:rPr>
      </w:pPr>
      <w:bookmarkStart w:id="40" w:name="6._Technical_PPSA_amendments_–_location_"/>
      <w:bookmarkEnd w:id="40"/>
      <w:r w:rsidRPr="00390CE3">
        <w:rPr>
          <w:rFonts w:ascii="Arial" w:eastAsia="Arial" w:hAnsi="Arial" w:cs="Arial"/>
          <w:b/>
          <w:bCs/>
          <w:spacing w:val="-1"/>
          <w:sz w:val="24"/>
          <w:szCs w:val="24"/>
        </w:rPr>
        <w:t xml:space="preserve">Modifications </w:t>
      </w:r>
      <w:r w:rsidR="00390CE3" w:rsidRPr="00390CE3">
        <w:rPr>
          <w:rFonts w:ascii="Arial" w:eastAsia="Arial" w:hAnsi="Arial" w:cs="Arial"/>
          <w:b/>
          <w:bCs/>
          <w:spacing w:val="-1"/>
          <w:sz w:val="24"/>
          <w:szCs w:val="24"/>
        </w:rPr>
        <w:t xml:space="preserve">d’ordre </w:t>
      </w:r>
      <w:r w:rsidRPr="00390CE3">
        <w:rPr>
          <w:rFonts w:ascii="Arial" w:eastAsia="Arial" w:hAnsi="Arial" w:cs="Arial"/>
          <w:b/>
          <w:bCs/>
          <w:spacing w:val="-1"/>
          <w:sz w:val="24"/>
          <w:szCs w:val="24"/>
        </w:rPr>
        <w:t xml:space="preserve">technique à la LSM – modification relative à la règle </w:t>
      </w:r>
      <w:r w:rsidR="00BA28A6" w:rsidRPr="00390CE3">
        <w:rPr>
          <w:rFonts w:ascii="Arial" w:eastAsia="Arial" w:hAnsi="Arial" w:cs="Arial"/>
          <w:b/>
          <w:bCs/>
          <w:spacing w:val="-1"/>
          <w:sz w:val="24"/>
          <w:szCs w:val="24"/>
        </w:rPr>
        <w:t>du lieu où se trouve le débiteur</w:t>
      </w:r>
    </w:p>
    <w:p w:rsidR="00047FAE" w:rsidRDefault="00047FAE">
      <w:pPr>
        <w:spacing w:line="240" w:lineRule="exact"/>
        <w:rPr>
          <w:sz w:val="24"/>
          <w:szCs w:val="24"/>
        </w:rPr>
      </w:pPr>
    </w:p>
    <w:p w:rsidR="00047FAE" w:rsidRDefault="00BA28A6">
      <w:pPr>
        <w:ind w:left="120" w:right="116"/>
        <w:jc w:val="both"/>
        <w:rPr>
          <w:rFonts w:ascii="Arial" w:eastAsia="Arial" w:hAnsi="Arial" w:cs="Arial"/>
          <w:sz w:val="24"/>
          <w:szCs w:val="24"/>
        </w:rPr>
      </w:pPr>
      <w:r w:rsidRPr="00390CE3">
        <w:rPr>
          <w:rFonts w:ascii="Arial" w:eastAsia="Arial" w:hAnsi="Arial" w:cs="Arial"/>
          <w:b/>
          <w:bCs/>
          <w:spacing w:val="1"/>
          <w:sz w:val="24"/>
          <w:szCs w:val="24"/>
        </w:rPr>
        <w:t xml:space="preserve">Nous recommandons que les articles 7.2 (7), 7.3 (6) et 7 (2) de la LSM soient modifiés afin de corriger une question </w:t>
      </w:r>
      <w:r w:rsidR="00390CE3" w:rsidRPr="00390CE3">
        <w:rPr>
          <w:rFonts w:ascii="Arial" w:eastAsia="Arial" w:hAnsi="Arial" w:cs="Arial"/>
          <w:b/>
          <w:bCs/>
          <w:spacing w:val="1"/>
          <w:sz w:val="24"/>
          <w:szCs w:val="24"/>
        </w:rPr>
        <w:t xml:space="preserve">d’ordre </w:t>
      </w:r>
      <w:r w:rsidRPr="00390CE3">
        <w:rPr>
          <w:rFonts w:ascii="Arial" w:eastAsia="Arial" w:hAnsi="Arial" w:cs="Arial"/>
          <w:b/>
          <w:bCs/>
          <w:spacing w:val="1"/>
          <w:sz w:val="24"/>
          <w:szCs w:val="24"/>
        </w:rPr>
        <w:t>technique ayant trait aux règles transitoires se rapportant au lieu du débiteur adoptées le 31 décembre 2015 dans le but de conserver comme rendus adéquatement opposables</w:t>
      </w:r>
      <w:r w:rsidR="00390CE3" w:rsidRPr="00390CE3">
        <w:rPr>
          <w:rFonts w:ascii="Arial" w:eastAsia="Arial" w:hAnsi="Arial" w:cs="Arial"/>
          <w:b/>
          <w:bCs/>
          <w:spacing w:val="1"/>
          <w:sz w:val="24"/>
          <w:szCs w:val="24"/>
        </w:rPr>
        <w:t>,</w:t>
      </w:r>
      <w:r w:rsidRPr="00390CE3">
        <w:rPr>
          <w:rFonts w:ascii="Arial" w:eastAsia="Arial" w:hAnsi="Arial" w:cs="Arial"/>
          <w:b/>
          <w:bCs/>
          <w:spacing w:val="1"/>
          <w:sz w:val="24"/>
          <w:szCs w:val="24"/>
        </w:rPr>
        <w:t xml:space="preserve"> sans la prise d’autres mesures</w:t>
      </w:r>
      <w:r w:rsidR="00390CE3" w:rsidRPr="00390CE3">
        <w:rPr>
          <w:rFonts w:ascii="Arial" w:eastAsia="Arial" w:hAnsi="Arial" w:cs="Arial"/>
          <w:b/>
          <w:bCs/>
          <w:spacing w:val="1"/>
          <w:sz w:val="24"/>
          <w:szCs w:val="24"/>
        </w:rPr>
        <w:t>,</w:t>
      </w:r>
      <w:r w:rsidRPr="00390CE3">
        <w:rPr>
          <w:rFonts w:ascii="Arial" w:eastAsia="Arial" w:hAnsi="Arial" w:cs="Arial"/>
          <w:b/>
          <w:bCs/>
          <w:spacing w:val="1"/>
          <w:sz w:val="24"/>
          <w:szCs w:val="24"/>
        </w:rPr>
        <w:t xml:space="preserve"> les enregistrements actuels en vertu de la LSM lorsque le lieu juridique du débiteur n’est pas changé par les nouvelles règles relatives au lieu.</w:t>
      </w:r>
    </w:p>
    <w:p w:rsidR="00047FAE" w:rsidRDefault="00047FAE">
      <w:pPr>
        <w:spacing w:line="240" w:lineRule="exact"/>
        <w:rPr>
          <w:sz w:val="24"/>
          <w:szCs w:val="24"/>
        </w:rPr>
      </w:pPr>
    </w:p>
    <w:p w:rsidR="00047FAE" w:rsidRDefault="00F45E30">
      <w:pPr>
        <w:pStyle w:val="BodyText"/>
        <w:ind w:right="117"/>
        <w:jc w:val="both"/>
      </w:pPr>
      <w:r w:rsidRPr="005548FE">
        <w:rPr>
          <w:spacing w:val="2"/>
        </w:rPr>
        <w:t xml:space="preserve">La question </w:t>
      </w:r>
      <w:r w:rsidR="00390CE3" w:rsidRPr="005548FE">
        <w:rPr>
          <w:spacing w:val="2"/>
        </w:rPr>
        <w:t xml:space="preserve">d’ordre </w:t>
      </w:r>
      <w:r w:rsidRPr="005548FE">
        <w:rPr>
          <w:spacing w:val="2"/>
        </w:rPr>
        <w:t xml:space="preserve">technique </w:t>
      </w:r>
      <w:r w:rsidR="00390CE3" w:rsidRPr="005548FE">
        <w:rPr>
          <w:spacing w:val="2"/>
        </w:rPr>
        <w:t>se rapporte</w:t>
      </w:r>
      <w:r w:rsidRPr="005548FE">
        <w:rPr>
          <w:spacing w:val="2"/>
        </w:rPr>
        <w:t xml:space="preserve"> aux règles transitoires relevant des articles </w:t>
      </w:r>
      <w:r w:rsidRPr="005548FE">
        <w:t>7.2 </w:t>
      </w:r>
      <w:r w:rsidRPr="005548FE">
        <w:rPr>
          <w:spacing w:val="-1"/>
        </w:rPr>
        <w:t>(</w:t>
      </w:r>
      <w:r w:rsidRPr="005548FE">
        <w:t>7) et</w:t>
      </w:r>
      <w:r w:rsidRPr="005548FE">
        <w:rPr>
          <w:spacing w:val="48"/>
        </w:rPr>
        <w:t xml:space="preserve"> </w:t>
      </w:r>
      <w:r w:rsidRPr="005548FE">
        <w:t>7.3 </w:t>
      </w:r>
      <w:r w:rsidRPr="005548FE">
        <w:rPr>
          <w:spacing w:val="-4"/>
        </w:rPr>
        <w:t>(</w:t>
      </w:r>
      <w:r w:rsidRPr="005548FE">
        <w:t>6), en ce sens que les règles pourraient être interprétées</w:t>
      </w:r>
      <w:r w:rsidRPr="005548FE">
        <w:rPr>
          <w:spacing w:val="48"/>
        </w:rPr>
        <w:t xml:space="preserve"> </w:t>
      </w:r>
      <w:r w:rsidRPr="005548FE">
        <w:t xml:space="preserve">comme mettant </w:t>
      </w:r>
      <w:r w:rsidRPr="005548FE">
        <w:lastRenderedPageBreak/>
        <w:t>fin à la durée d’enregistrement des enregistrements effectués en vertu de la LSM de l’</w:t>
      </w:r>
      <w:r w:rsidRPr="005548FE">
        <w:rPr>
          <w:spacing w:val="-2"/>
        </w:rPr>
        <w:t>O</w:t>
      </w:r>
      <w:r w:rsidRPr="005548FE">
        <w:t>nta</w:t>
      </w:r>
      <w:r w:rsidRPr="005548FE">
        <w:rPr>
          <w:spacing w:val="-1"/>
        </w:rPr>
        <w:t>ri</w:t>
      </w:r>
      <w:r w:rsidRPr="005548FE">
        <w:t>o avant le 31 décembre 20</w:t>
      </w:r>
      <w:r w:rsidRPr="005548FE">
        <w:rPr>
          <w:spacing w:val="-2"/>
        </w:rPr>
        <w:t>1</w:t>
      </w:r>
      <w:r w:rsidRPr="005548FE">
        <w:t>5, et au moment de l’expiration de la règle transitoire de cinq ans le 31 décembre 20</w:t>
      </w:r>
      <w:r w:rsidRPr="005548FE">
        <w:rPr>
          <w:spacing w:val="-2"/>
        </w:rPr>
        <w:t>2</w:t>
      </w:r>
      <w:r w:rsidRPr="005548FE">
        <w:t>0, et ce, même si l’app</w:t>
      </w:r>
      <w:r w:rsidRPr="005548FE">
        <w:rPr>
          <w:spacing w:val="-1"/>
        </w:rPr>
        <w:t>li</w:t>
      </w:r>
      <w:r w:rsidRPr="005548FE">
        <w:t>cat</w:t>
      </w:r>
      <w:r w:rsidRPr="005548FE">
        <w:rPr>
          <w:spacing w:val="-1"/>
        </w:rPr>
        <w:t>i</w:t>
      </w:r>
      <w:r w:rsidRPr="005548FE">
        <w:rPr>
          <w:spacing w:val="-2"/>
        </w:rPr>
        <w:t>o</w:t>
      </w:r>
      <w:r w:rsidRPr="005548FE">
        <w:t>n</w:t>
      </w:r>
      <w:r w:rsidRPr="005548FE">
        <w:rPr>
          <w:spacing w:val="11"/>
        </w:rPr>
        <w:t xml:space="preserve"> des nouvelles règles du lieu où se trouve le débiteur ne se traduirait pas par un changement au lieu du débiteur</w:t>
      </w:r>
      <w:r w:rsidRPr="005548FE">
        <w:t>.</w:t>
      </w:r>
    </w:p>
    <w:p w:rsidR="00047FAE" w:rsidRDefault="00047FAE">
      <w:pPr>
        <w:spacing w:line="240" w:lineRule="exact"/>
        <w:rPr>
          <w:sz w:val="24"/>
          <w:szCs w:val="24"/>
        </w:rPr>
      </w:pPr>
    </w:p>
    <w:p w:rsidR="00047FAE" w:rsidRDefault="00F45E30">
      <w:pPr>
        <w:pStyle w:val="BodyText"/>
        <w:ind w:right="115"/>
        <w:jc w:val="both"/>
      </w:pPr>
      <w:r w:rsidRPr="005548FE">
        <w:rPr>
          <w:spacing w:val="-1"/>
        </w:rPr>
        <w:t xml:space="preserve">Par exemple, un débiteur créé en vertu de la LSAO, avec bureau de direction en </w:t>
      </w:r>
      <w:r w:rsidRPr="005548FE">
        <w:t>O</w:t>
      </w:r>
      <w:r w:rsidRPr="005548FE">
        <w:rPr>
          <w:spacing w:val="-2"/>
        </w:rPr>
        <w:t>n</w:t>
      </w:r>
      <w:r w:rsidRPr="005548FE">
        <w:t>ta</w:t>
      </w:r>
      <w:r w:rsidRPr="005548FE">
        <w:rPr>
          <w:spacing w:val="-1"/>
        </w:rPr>
        <w:t>r</w:t>
      </w:r>
      <w:r w:rsidRPr="005548FE">
        <w:rPr>
          <w:spacing w:val="-3"/>
        </w:rPr>
        <w:t>i</w:t>
      </w:r>
      <w:r w:rsidRPr="005548FE">
        <w:t>o, serait réputé comme situé en O</w:t>
      </w:r>
      <w:r w:rsidRPr="005548FE">
        <w:rPr>
          <w:spacing w:val="-2"/>
        </w:rPr>
        <w:t>n</w:t>
      </w:r>
      <w:r w:rsidRPr="005548FE">
        <w:t>ta</w:t>
      </w:r>
      <w:r w:rsidRPr="005548FE">
        <w:rPr>
          <w:spacing w:val="-1"/>
        </w:rPr>
        <w:t>r</w:t>
      </w:r>
      <w:r w:rsidRPr="005548FE">
        <w:rPr>
          <w:spacing w:val="-3"/>
        </w:rPr>
        <w:t>i</w:t>
      </w:r>
      <w:r w:rsidRPr="005548FE">
        <w:t>o en vertu des anciennes et des nouvelles règles du lieu en vertu de la LSM.</w:t>
      </w:r>
      <w:r w:rsidR="007309FF">
        <w:rPr>
          <w:spacing w:val="11"/>
        </w:rPr>
        <w:t xml:space="preserve"> </w:t>
      </w:r>
      <w:r w:rsidRPr="005548FE">
        <w:rPr>
          <w:spacing w:val="-1"/>
        </w:rPr>
        <w:t>Considérées de manière littérale, les règles transitoires des article</w:t>
      </w:r>
      <w:r w:rsidRPr="005548FE">
        <w:t>s</w:t>
      </w:r>
      <w:r w:rsidRPr="005548FE">
        <w:rPr>
          <w:spacing w:val="38"/>
        </w:rPr>
        <w:t xml:space="preserve"> </w:t>
      </w:r>
      <w:r w:rsidRPr="005548FE">
        <w:t>7</w:t>
      </w:r>
      <w:r w:rsidRPr="005548FE">
        <w:rPr>
          <w:spacing w:val="-2"/>
        </w:rPr>
        <w:t>.</w:t>
      </w:r>
      <w:r w:rsidRPr="005548FE">
        <w:t>2 </w:t>
      </w:r>
      <w:r w:rsidRPr="005548FE">
        <w:rPr>
          <w:spacing w:val="-1"/>
        </w:rPr>
        <w:t>(</w:t>
      </w:r>
      <w:r w:rsidRPr="005548FE">
        <w:rPr>
          <w:spacing w:val="-2"/>
        </w:rPr>
        <w:t>7</w:t>
      </w:r>
      <w:r w:rsidRPr="005548FE">
        <w:t>)</w:t>
      </w:r>
      <w:r w:rsidRPr="005548FE">
        <w:rPr>
          <w:spacing w:val="38"/>
        </w:rPr>
        <w:t xml:space="preserve"> </w:t>
      </w:r>
      <w:r w:rsidRPr="005548FE">
        <w:t>et</w:t>
      </w:r>
      <w:r w:rsidRPr="005548FE">
        <w:rPr>
          <w:spacing w:val="40"/>
        </w:rPr>
        <w:t xml:space="preserve"> </w:t>
      </w:r>
      <w:r w:rsidRPr="005548FE">
        <w:t>7.3 </w:t>
      </w:r>
      <w:r w:rsidRPr="005548FE">
        <w:rPr>
          <w:spacing w:val="-1"/>
        </w:rPr>
        <w:t>(</w:t>
      </w:r>
      <w:r w:rsidRPr="005548FE">
        <w:t>6)</w:t>
      </w:r>
      <w:r w:rsidRPr="005548FE">
        <w:rPr>
          <w:spacing w:val="37"/>
        </w:rPr>
        <w:t xml:space="preserve"> </w:t>
      </w:r>
      <w:r w:rsidRPr="005548FE">
        <w:rPr>
          <w:spacing w:val="-3"/>
        </w:rPr>
        <w:t xml:space="preserve">signifieraient </w:t>
      </w:r>
      <w:r w:rsidRPr="005548FE">
        <w:t xml:space="preserve">qu’un enregistrement à l’égard de ce débiteur en ce qui a trait à des </w:t>
      </w:r>
      <w:r w:rsidR="0064706D" w:rsidRPr="005548FE">
        <w:t xml:space="preserve">biens immatériels ou à des biens de placement qui </w:t>
      </w:r>
      <w:r w:rsidR="004951E1" w:rsidRPr="005548FE">
        <w:t xml:space="preserve">ne </w:t>
      </w:r>
      <w:r w:rsidR="0064706D" w:rsidRPr="005548FE">
        <w:t xml:space="preserve">prendraient normalement pas fin, disons, avant </w:t>
      </w:r>
      <w:r w:rsidRPr="005548FE">
        <w:t>2024</w:t>
      </w:r>
      <w:r w:rsidRPr="005548FE">
        <w:rPr>
          <w:spacing w:val="11"/>
        </w:rPr>
        <w:t xml:space="preserve"> </w:t>
      </w:r>
      <w:r w:rsidR="004951E1" w:rsidRPr="005548FE">
        <w:rPr>
          <w:spacing w:val="11"/>
        </w:rPr>
        <w:t xml:space="preserve">serait réputé prendre fin le </w:t>
      </w:r>
      <w:r w:rsidRPr="005548FE">
        <w:t>31</w:t>
      </w:r>
      <w:r w:rsidR="004951E1" w:rsidRPr="005548FE">
        <w:t xml:space="preserve"> décembre</w:t>
      </w:r>
      <w:r w:rsidRPr="005548FE">
        <w:rPr>
          <w:spacing w:val="33"/>
        </w:rPr>
        <w:t xml:space="preserve"> </w:t>
      </w:r>
      <w:r w:rsidRPr="005548FE">
        <w:rPr>
          <w:spacing w:val="-2"/>
        </w:rPr>
        <w:t>2</w:t>
      </w:r>
      <w:r w:rsidRPr="005548FE">
        <w:t>0</w:t>
      </w:r>
      <w:r w:rsidRPr="005548FE">
        <w:rPr>
          <w:spacing w:val="-2"/>
        </w:rPr>
        <w:t>2</w:t>
      </w:r>
      <w:r w:rsidRPr="005548FE">
        <w:t>0.</w:t>
      </w:r>
      <w:r w:rsidRPr="005548FE">
        <w:rPr>
          <w:spacing w:val="1"/>
        </w:rPr>
        <w:t xml:space="preserve"> </w:t>
      </w:r>
      <w:r w:rsidR="004951E1" w:rsidRPr="005548FE">
        <w:rPr>
          <w:spacing w:val="1"/>
        </w:rPr>
        <w:t xml:space="preserve">Cela n’était vraisemblablement pas l’intention des rédacteurs en </w:t>
      </w:r>
      <w:r w:rsidRPr="005548FE">
        <w:t>2</w:t>
      </w:r>
      <w:r w:rsidRPr="005548FE">
        <w:rPr>
          <w:spacing w:val="-2"/>
        </w:rPr>
        <w:t>0</w:t>
      </w:r>
      <w:r w:rsidRPr="005548FE">
        <w:t>06.</w:t>
      </w:r>
      <w:r w:rsidR="007309FF">
        <w:rPr>
          <w:spacing w:val="32"/>
        </w:rPr>
        <w:t xml:space="preserve"> </w:t>
      </w:r>
      <w:r w:rsidR="004951E1" w:rsidRPr="005548FE">
        <w:t>Une modification d’ordre technique à la formulation actuelle laisserait bien comprendre que cette règle transitoire de cinq ans et que la date d’expiration du 31 décembre 2020 ne s’appliqueraient que si les nouvelles règles adoptées le 31 décembre 2</w:t>
      </w:r>
      <w:r w:rsidR="004951E1" w:rsidRPr="005548FE">
        <w:rPr>
          <w:spacing w:val="-2"/>
        </w:rPr>
        <w:t>0</w:t>
      </w:r>
      <w:r w:rsidR="004951E1" w:rsidRPr="005548FE">
        <w:t xml:space="preserve">15 </w:t>
      </w:r>
      <w:r w:rsidR="000761F9" w:rsidRPr="005548FE">
        <w:t>considéraient que le débiteur se trouve dans un autre lieu</w:t>
      </w:r>
      <w:r w:rsidR="00432313" w:rsidRPr="005548FE">
        <w:t xml:space="preserve"> en fonction des nouvelles règles.</w:t>
      </w:r>
    </w:p>
    <w:p w:rsidR="00047FAE" w:rsidRDefault="00047FAE">
      <w:pPr>
        <w:spacing w:line="240" w:lineRule="exact"/>
        <w:rPr>
          <w:sz w:val="24"/>
          <w:szCs w:val="24"/>
        </w:rPr>
      </w:pPr>
    </w:p>
    <w:p w:rsidR="00047FAE" w:rsidRDefault="00432313">
      <w:pPr>
        <w:pStyle w:val="BodyText"/>
        <w:ind w:right="115"/>
        <w:jc w:val="both"/>
      </w:pPr>
      <w:r w:rsidRPr="005548FE">
        <w:t>Par ailleurs, nous recommandons une légère modification de formulation à l’article 7 (2) afin de tenir compte des nouvelles règles relatives au lieu du débiteur.</w:t>
      </w:r>
      <w:r w:rsidR="007309FF">
        <w:rPr>
          <w:spacing w:val="64"/>
        </w:rPr>
        <w:t xml:space="preserve"> </w:t>
      </w:r>
      <w:r w:rsidRPr="005548FE">
        <w:rPr>
          <w:spacing w:val="2"/>
        </w:rPr>
        <w:t xml:space="preserve">Cette recommandation </w:t>
      </w:r>
      <w:r w:rsidR="000E45AC" w:rsidRPr="005548FE">
        <w:rPr>
          <w:spacing w:val="2"/>
        </w:rPr>
        <w:t>remplacerait</w:t>
      </w:r>
      <w:r w:rsidRPr="005548FE">
        <w:rPr>
          <w:spacing w:val="2"/>
        </w:rPr>
        <w:t xml:space="preserve"> le passage </w:t>
      </w:r>
      <w:r w:rsidR="007A4755" w:rsidRPr="005548FE">
        <w:rPr>
          <w:spacing w:val="2"/>
        </w:rPr>
        <w:t>« Si le débiteur s’installe dans un autre ressort » (ce qui implique un changement de lieu physique, qui était, auparavant, un facteur lié aux conflits de l'ancienne règle concernant le lieu du bureau de direction</w:t>
      </w:r>
      <w:r w:rsidR="000E45AC" w:rsidRPr="005548FE">
        <w:rPr>
          <w:spacing w:val="2"/>
        </w:rPr>
        <w:t xml:space="preserve">) par une formulation </w:t>
      </w:r>
      <w:r w:rsidR="00B0684B" w:rsidRPr="005548FE">
        <w:rPr>
          <w:spacing w:val="2"/>
        </w:rPr>
        <w:t xml:space="preserve">dénotant un changement de ressort du débiteur après le 31 décembre </w:t>
      </w:r>
      <w:r w:rsidR="00B0684B" w:rsidRPr="005548FE">
        <w:t>20</w:t>
      </w:r>
      <w:r w:rsidR="00B0684B" w:rsidRPr="005548FE">
        <w:rPr>
          <w:spacing w:val="-2"/>
        </w:rPr>
        <w:t>1</w:t>
      </w:r>
      <w:r w:rsidR="00B0684B" w:rsidRPr="005548FE">
        <w:t xml:space="preserve">5 en raison de l’application des nouvelles règles relatives au débiteur, qui ont été officiellement adoptées </w:t>
      </w:r>
      <w:r w:rsidR="009566D7" w:rsidRPr="005548FE">
        <w:t>à cette date.</w:t>
      </w:r>
    </w:p>
    <w:p w:rsidR="00047FAE" w:rsidRDefault="00047FAE">
      <w:pPr>
        <w:spacing w:line="240" w:lineRule="exact"/>
        <w:rPr>
          <w:sz w:val="24"/>
          <w:szCs w:val="24"/>
        </w:rPr>
      </w:pPr>
    </w:p>
    <w:p w:rsidR="00047FAE" w:rsidRPr="005548FE" w:rsidRDefault="009566D7" w:rsidP="005548FE">
      <w:pPr>
        <w:numPr>
          <w:ilvl w:val="0"/>
          <w:numId w:val="26"/>
        </w:numPr>
        <w:tabs>
          <w:tab w:val="left" w:pos="839"/>
          <w:tab w:val="left" w:pos="2474"/>
          <w:tab w:val="left" w:pos="3055"/>
          <w:tab w:val="left" w:pos="3923"/>
          <w:tab w:val="left" w:pos="4571"/>
          <w:tab w:val="left" w:pos="5445"/>
          <w:tab w:val="left" w:pos="6801"/>
          <w:tab w:val="left" w:pos="7979"/>
          <w:tab w:val="left" w:pos="9052"/>
        </w:tabs>
        <w:ind w:left="840" w:right="119"/>
        <w:rPr>
          <w:rFonts w:ascii="Arial" w:eastAsia="Arial" w:hAnsi="Arial" w:cs="Arial"/>
          <w:sz w:val="24"/>
          <w:szCs w:val="24"/>
        </w:rPr>
      </w:pPr>
      <w:bookmarkStart w:id="41" w:name="7._Modernizing_the_PPSA_and_RSLA_Compute"/>
      <w:bookmarkEnd w:id="41"/>
      <w:r w:rsidRPr="005548FE">
        <w:rPr>
          <w:rFonts w:ascii="Arial" w:eastAsia="Arial" w:hAnsi="Arial" w:cs="Arial"/>
          <w:b/>
          <w:bCs/>
          <w:spacing w:val="-1"/>
          <w:sz w:val="24"/>
          <w:szCs w:val="24"/>
        </w:rPr>
        <w:t>Modernisation du système d’enregistrement informatisé et des processus</w:t>
      </w:r>
      <w:r w:rsidR="00D172C3">
        <w:rPr>
          <w:rFonts w:ascii="Arial" w:eastAsia="Arial" w:hAnsi="Arial" w:cs="Arial"/>
          <w:b/>
          <w:bCs/>
          <w:spacing w:val="-1"/>
          <w:sz w:val="24"/>
          <w:szCs w:val="24"/>
        </w:rPr>
        <w:t xml:space="preserve"> de la LSM et de la LPRE</w:t>
      </w:r>
    </w:p>
    <w:p w:rsidR="00047FAE" w:rsidRDefault="00047FAE">
      <w:pPr>
        <w:spacing w:line="240" w:lineRule="exact"/>
        <w:rPr>
          <w:sz w:val="24"/>
          <w:szCs w:val="24"/>
        </w:rPr>
      </w:pPr>
    </w:p>
    <w:p w:rsidR="00047FAE" w:rsidRDefault="009566D7">
      <w:pPr>
        <w:ind w:left="120" w:right="113"/>
        <w:jc w:val="both"/>
        <w:rPr>
          <w:rFonts w:ascii="Arial" w:eastAsia="Arial" w:hAnsi="Arial" w:cs="Arial"/>
          <w:sz w:val="24"/>
          <w:szCs w:val="24"/>
        </w:rPr>
      </w:pPr>
      <w:r w:rsidRPr="005548FE">
        <w:rPr>
          <w:rFonts w:ascii="Arial" w:eastAsia="Arial" w:hAnsi="Arial" w:cs="Arial"/>
          <w:b/>
          <w:bCs/>
          <w:spacing w:val="1"/>
          <w:sz w:val="24"/>
          <w:szCs w:val="24"/>
        </w:rPr>
        <w:t>Nous recommandons que le système d’enregistrement de la LSM et de la LPRE soit entièrement numérisé, tant pour les fonctionnalités de dépôt que de recherche. Il faudrait également prévoir des mises à niveau visant à améliorer l’efficacité et la sécurité du système.</w:t>
      </w:r>
    </w:p>
    <w:p w:rsidR="00047FAE" w:rsidRDefault="00047FAE">
      <w:pPr>
        <w:spacing w:line="240" w:lineRule="exact"/>
        <w:rPr>
          <w:sz w:val="24"/>
          <w:szCs w:val="24"/>
        </w:rPr>
      </w:pPr>
    </w:p>
    <w:p w:rsidR="00047FAE" w:rsidRDefault="009566D7" w:rsidP="00D172C3">
      <w:pPr>
        <w:pStyle w:val="BodyText"/>
        <w:ind w:right="117"/>
        <w:jc w:val="both"/>
      </w:pPr>
      <w:r w:rsidRPr="00C05723">
        <w:t>L’Onta</w:t>
      </w:r>
      <w:r w:rsidRPr="00C05723">
        <w:rPr>
          <w:spacing w:val="-1"/>
        </w:rPr>
        <w:t>ri</w:t>
      </w:r>
      <w:r w:rsidRPr="00C05723">
        <w:t xml:space="preserve">o a été incapable de considérer des mises à jour pour moderniser ou harmoniser la LSM et la LPRE </w:t>
      </w:r>
      <w:r w:rsidR="005548FE" w:rsidRPr="00C05723">
        <w:t>lorsque</w:t>
      </w:r>
      <w:r w:rsidRPr="00C05723">
        <w:t xml:space="preserve"> les modifications touchent le système informatique, car ce système ne peut</w:t>
      </w:r>
      <w:r w:rsidR="00D172C3">
        <w:t xml:space="preserve"> </w:t>
      </w:r>
      <w:r w:rsidRPr="00C05723">
        <w:t>être mis à niveau en raison de l’âge du logiciel (qui remonte à 19</w:t>
      </w:r>
      <w:r w:rsidRPr="00C05723">
        <w:rPr>
          <w:spacing w:val="-2"/>
        </w:rPr>
        <w:t>8</w:t>
      </w:r>
      <w:r w:rsidRPr="00C05723">
        <w:t>9 et peut-être même avant cette date) et du manq</w:t>
      </w:r>
      <w:r w:rsidR="00C05723" w:rsidRPr="00C05723">
        <w:t xml:space="preserve">ue de programmeurs capables de travailler avec </w:t>
      </w:r>
      <w:r w:rsidRPr="00C05723">
        <w:t>l’</w:t>
      </w:r>
      <w:r w:rsidR="00085022" w:rsidRPr="00C05723">
        <w:t xml:space="preserve">ancienne </w:t>
      </w:r>
      <w:r w:rsidRPr="00C05723">
        <w:t>a</w:t>
      </w:r>
      <w:r w:rsidRPr="00C05723">
        <w:rPr>
          <w:spacing w:val="-1"/>
        </w:rPr>
        <w:t>r</w:t>
      </w:r>
      <w:r w:rsidRPr="00C05723">
        <w:t>ch</w:t>
      </w:r>
      <w:r w:rsidRPr="00C05723">
        <w:rPr>
          <w:spacing w:val="-1"/>
        </w:rPr>
        <w:t>i</w:t>
      </w:r>
      <w:r w:rsidRPr="00C05723">
        <w:t>tectu</w:t>
      </w:r>
      <w:r w:rsidRPr="00C05723">
        <w:rPr>
          <w:spacing w:val="-1"/>
        </w:rPr>
        <w:t>r</w:t>
      </w:r>
      <w:r w:rsidRPr="00C05723">
        <w:t>e</w:t>
      </w:r>
      <w:r w:rsidR="00085022" w:rsidRPr="00C05723">
        <w:t xml:space="preserve"> de ce système.</w:t>
      </w:r>
      <w:r w:rsidRPr="00C05723">
        <w:t xml:space="preserve"> </w:t>
      </w:r>
    </w:p>
    <w:p w:rsidR="00047FAE" w:rsidRDefault="00047FAE">
      <w:pPr>
        <w:spacing w:line="240" w:lineRule="exact"/>
        <w:rPr>
          <w:sz w:val="24"/>
          <w:szCs w:val="24"/>
        </w:rPr>
      </w:pPr>
    </w:p>
    <w:p w:rsidR="00047FAE" w:rsidRDefault="00D2511C">
      <w:pPr>
        <w:pStyle w:val="BodyText"/>
        <w:ind w:right="117"/>
        <w:jc w:val="both"/>
      </w:pPr>
      <w:r w:rsidRPr="00C05723">
        <w:rPr>
          <w:spacing w:val="2"/>
        </w:rPr>
        <w:t xml:space="preserve">Compte tenu du rôle important que joue cette </w:t>
      </w:r>
      <w:r w:rsidRPr="00C05723">
        <w:rPr>
          <w:spacing w:val="-1"/>
        </w:rPr>
        <w:t>base de données dans l’in</w:t>
      </w:r>
      <w:r w:rsidRPr="00C05723">
        <w:rPr>
          <w:spacing w:val="2"/>
        </w:rPr>
        <w:t>f</w:t>
      </w:r>
      <w:r w:rsidRPr="00C05723">
        <w:rPr>
          <w:spacing w:val="-1"/>
        </w:rPr>
        <w:t>r</w:t>
      </w:r>
      <w:r w:rsidRPr="00C05723">
        <w:t>ast</w:t>
      </w:r>
      <w:r w:rsidRPr="00C05723">
        <w:rPr>
          <w:spacing w:val="-1"/>
        </w:rPr>
        <w:t>r</w:t>
      </w:r>
      <w:r w:rsidRPr="00C05723">
        <w:t>u</w:t>
      </w:r>
      <w:r w:rsidRPr="00C05723">
        <w:rPr>
          <w:spacing w:val="-3"/>
        </w:rPr>
        <w:t>c</w:t>
      </w:r>
      <w:r w:rsidRPr="00C05723">
        <w:rPr>
          <w:spacing w:val="-2"/>
        </w:rPr>
        <w:t>t</w:t>
      </w:r>
      <w:r w:rsidRPr="00C05723">
        <w:t>u</w:t>
      </w:r>
      <w:r w:rsidRPr="00C05723">
        <w:rPr>
          <w:spacing w:val="-1"/>
        </w:rPr>
        <w:t>r</w:t>
      </w:r>
      <w:r w:rsidRPr="00C05723">
        <w:t>e des affaires de l’On</w:t>
      </w:r>
      <w:r w:rsidRPr="00C05723">
        <w:rPr>
          <w:spacing w:val="-2"/>
        </w:rPr>
        <w:t>t</w:t>
      </w:r>
      <w:r w:rsidRPr="00C05723">
        <w:t>a</w:t>
      </w:r>
      <w:r w:rsidRPr="00C05723">
        <w:rPr>
          <w:spacing w:val="-1"/>
        </w:rPr>
        <w:t>ri</w:t>
      </w:r>
      <w:r w:rsidRPr="00C05723">
        <w:rPr>
          <w:spacing w:val="-2"/>
        </w:rPr>
        <w:t>o, il ne faut pas la laisser dans cet état vulnérable.</w:t>
      </w:r>
      <w:r w:rsidR="007309FF">
        <w:rPr>
          <w:spacing w:val="47"/>
        </w:rPr>
        <w:t xml:space="preserve"> </w:t>
      </w:r>
      <w:r w:rsidR="0055509C" w:rsidRPr="00C05723">
        <w:rPr>
          <w:spacing w:val="2"/>
        </w:rPr>
        <w:t>Le système informatisé de la LSM et de la LPRE devrait constamment être actualisés, efficaces et sécuritaires, à l’</w:t>
      </w:r>
      <w:r w:rsidR="0029352E" w:rsidRPr="00C05723">
        <w:rPr>
          <w:spacing w:val="2"/>
        </w:rPr>
        <w:t>instar</w:t>
      </w:r>
      <w:r w:rsidR="0055509C" w:rsidRPr="00C05723">
        <w:rPr>
          <w:spacing w:val="2"/>
        </w:rPr>
        <w:t xml:space="preserve"> du système d’enregistrement </w:t>
      </w:r>
      <w:r w:rsidR="0029352E" w:rsidRPr="00C05723">
        <w:rPr>
          <w:spacing w:val="2"/>
        </w:rPr>
        <w:t>foncier dont les fonctionnalités d’enregistrement électronique, de recherche et autre ont été actualisées.</w:t>
      </w:r>
    </w:p>
    <w:p w:rsidR="00047FAE" w:rsidRDefault="00047FAE">
      <w:pPr>
        <w:spacing w:line="240" w:lineRule="exact"/>
        <w:rPr>
          <w:sz w:val="24"/>
          <w:szCs w:val="24"/>
        </w:rPr>
      </w:pPr>
    </w:p>
    <w:p w:rsidR="00047FAE" w:rsidRDefault="0029352E">
      <w:pPr>
        <w:pStyle w:val="BodyText"/>
        <w:ind w:right="118"/>
        <w:jc w:val="both"/>
      </w:pPr>
      <w:r w:rsidRPr="00C05723">
        <w:rPr>
          <w:spacing w:val="2"/>
        </w:rPr>
        <w:t xml:space="preserve">Le système d’enregistrement actuel de la LSM et de la LPRE entraîne </w:t>
      </w:r>
      <w:r w:rsidR="00C05723" w:rsidRPr="00C05723">
        <w:rPr>
          <w:spacing w:val="2"/>
        </w:rPr>
        <w:t>l’engagement de</w:t>
      </w:r>
      <w:r w:rsidRPr="00C05723">
        <w:rPr>
          <w:spacing w:val="2"/>
        </w:rPr>
        <w:t xml:space="preserve"> frais généraux, tant pour la province que pour les utilisateurs du système, car l’exploitation et les processus de ce système ne sont pas entièrement numérisés.</w:t>
      </w:r>
    </w:p>
    <w:p w:rsidR="00047FAE" w:rsidRDefault="00047FAE">
      <w:pPr>
        <w:spacing w:line="240" w:lineRule="exact"/>
        <w:rPr>
          <w:sz w:val="24"/>
          <w:szCs w:val="24"/>
        </w:rPr>
      </w:pPr>
    </w:p>
    <w:p w:rsidR="00047FAE" w:rsidRDefault="0029352E">
      <w:pPr>
        <w:pStyle w:val="BodyText"/>
        <w:ind w:right="116"/>
        <w:jc w:val="both"/>
      </w:pPr>
      <w:r w:rsidRPr="00C05723">
        <w:rPr>
          <w:spacing w:val="2"/>
        </w:rPr>
        <w:t xml:space="preserve">En ce moment, les données sont envoyées à la base de données informatisée par les </w:t>
      </w:r>
      <w:r w:rsidR="006A5CA5" w:rsidRPr="00C05723">
        <w:rPr>
          <w:spacing w:val="2"/>
        </w:rPr>
        <w:t>déclarants de manière électronique.</w:t>
      </w:r>
      <w:r w:rsidR="007309FF">
        <w:rPr>
          <w:spacing w:val="15"/>
        </w:rPr>
        <w:t xml:space="preserve"> </w:t>
      </w:r>
      <w:r w:rsidR="006A5CA5" w:rsidRPr="00C05723">
        <w:rPr>
          <w:spacing w:val="2"/>
        </w:rPr>
        <w:t>Ces données sont stockées de manière électronique également.</w:t>
      </w:r>
      <w:r w:rsidR="007309FF">
        <w:rPr>
          <w:spacing w:val="13"/>
        </w:rPr>
        <w:t xml:space="preserve"> </w:t>
      </w:r>
      <w:r w:rsidR="006A5CA5" w:rsidRPr="004A669C">
        <w:t xml:space="preserve">Lorsqu’une personne fait une demande de recherche, les données sont imprimées sur du papier, et ce document est alors ramassé par la personne qui </w:t>
      </w:r>
      <w:r w:rsidR="004A669C" w:rsidRPr="004A669C">
        <w:t xml:space="preserve">en </w:t>
      </w:r>
      <w:r w:rsidR="006A5CA5" w:rsidRPr="004A669C">
        <w:t>a fait la demande, ou encore, il lui est posté.</w:t>
      </w:r>
      <w:r w:rsidR="007309FF">
        <w:rPr>
          <w:spacing w:val="63"/>
        </w:rPr>
        <w:t xml:space="preserve"> </w:t>
      </w:r>
      <w:r w:rsidR="006A5CA5" w:rsidRPr="004A669C">
        <w:rPr>
          <w:spacing w:val="-1"/>
        </w:rPr>
        <w:t>Ensuite, bien des parties numérisent ces recherches afin de les stocker en cas de besoin.</w:t>
      </w:r>
    </w:p>
    <w:p w:rsidR="00047FAE" w:rsidRDefault="00047FAE">
      <w:pPr>
        <w:spacing w:line="240" w:lineRule="exact"/>
        <w:rPr>
          <w:sz w:val="24"/>
          <w:szCs w:val="24"/>
        </w:rPr>
      </w:pPr>
    </w:p>
    <w:p w:rsidR="00047FAE" w:rsidRDefault="006A5CA5">
      <w:pPr>
        <w:pStyle w:val="BodyText"/>
        <w:ind w:right="116"/>
        <w:jc w:val="both"/>
      </w:pPr>
      <w:r w:rsidRPr="004A669C">
        <w:rPr>
          <w:spacing w:val="2"/>
        </w:rPr>
        <w:t xml:space="preserve">L’ensemble du processus devrait être numérisé, ce qui permettrait à la </w:t>
      </w:r>
      <w:r w:rsidR="004A669C" w:rsidRPr="004A669C">
        <w:t>p</w:t>
      </w:r>
      <w:r w:rsidRPr="004A669C">
        <w:rPr>
          <w:spacing w:val="-1"/>
        </w:rPr>
        <w:t>r</w:t>
      </w:r>
      <w:r w:rsidRPr="004A669C">
        <w:t>o</w:t>
      </w:r>
      <w:r w:rsidRPr="004A669C">
        <w:rPr>
          <w:spacing w:val="-3"/>
        </w:rPr>
        <w:t>v</w:t>
      </w:r>
      <w:r w:rsidRPr="004A669C">
        <w:rPr>
          <w:spacing w:val="-1"/>
        </w:rPr>
        <w:t>i</w:t>
      </w:r>
      <w:r w:rsidRPr="004A669C">
        <w:t>nce d’envoyer les résultats de recherche en format P</w:t>
      </w:r>
      <w:r w:rsidRPr="004A669C">
        <w:rPr>
          <w:spacing w:val="-1"/>
        </w:rPr>
        <w:t>D</w:t>
      </w:r>
      <w:r w:rsidRPr="004A669C">
        <w:t>F ou dans un autre format sécurisé</w:t>
      </w:r>
      <w:r w:rsidR="004A669C" w:rsidRPr="004A669C">
        <w:t>.</w:t>
      </w:r>
      <w:r w:rsidRPr="004A669C">
        <w:t xml:space="preserve"> Ce</w:t>
      </w:r>
      <w:r w:rsidR="004A669C" w:rsidRPr="004A669C">
        <w:t>tte formule</w:t>
      </w:r>
      <w:r w:rsidRPr="004A669C">
        <w:t xml:space="preserve"> serait écologique, permettrait de diminuer l’utilisation de papier et réduir</w:t>
      </w:r>
      <w:r w:rsidR="004A669C" w:rsidRPr="004A669C">
        <w:t>ait</w:t>
      </w:r>
      <w:r w:rsidRPr="004A669C">
        <w:t xml:space="preserve"> les frais généraux liés à l'utilisation d</w:t>
      </w:r>
      <w:r w:rsidR="004A669C">
        <w:t>u</w:t>
      </w:r>
      <w:r w:rsidRPr="004A669C">
        <w:t xml:space="preserve"> papier.</w:t>
      </w:r>
      <w:r w:rsidR="007309FF">
        <w:rPr>
          <w:spacing w:val="53"/>
        </w:rPr>
        <w:t xml:space="preserve"> </w:t>
      </w:r>
      <w:r w:rsidR="004A669C" w:rsidRPr="004A669C">
        <w:t>Pour sa part, l</w:t>
      </w:r>
      <w:r w:rsidRPr="004A669C">
        <w:t xml:space="preserve">e Québec a </w:t>
      </w:r>
      <w:r w:rsidR="004A669C" w:rsidRPr="004A669C">
        <w:t xml:space="preserve">pris les mesures nécessaires pour </w:t>
      </w:r>
      <w:r w:rsidRPr="004A669C">
        <w:t>envoyer les résultats de recherche de manière électronique.</w:t>
      </w:r>
    </w:p>
    <w:p w:rsidR="00047FAE" w:rsidRDefault="00047FAE">
      <w:pPr>
        <w:spacing w:line="240" w:lineRule="exact"/>
        <w:rPr>
          <w:sz w:val="24"/>
          <w:szCs w:val="24"/>
        </w:rPr>
      </w:pPr>
    </w:p>
    <w:p w:rsidR="00047FAE" w:rsidRDefault="006A5CA5">
      <w:pPr>
        <w:pStyle w:val="BodyText"/>
        <w:ind w:right="118"/>
        <w:jc w:val="both"/>
      </w:pPr>
      <w:r w:rsidRPr="004A669C">
        <w:t>D</w:t>
      </w:r>
      <w:r w:rsidR="004A669C" w:rsidRPr="004A669C">
        <w:t>e plus, nous recommandons à la p</w:t>
      </w:r>
      <w:r w:rsidRPr="004A669C">
        <w:rPr>
          <w:spacing w:val="-1"/>
        </w:rPr>
        <w:t>r</w:t>
      </w:r>
      <w:r w:rsidRPr="004A669C">
        <w:t>o</w:t>
      </w:r>
      <w:r w:rsidRPr="004A669C">
        <w:rPr>
          <w:spacing w:val="-3"/>
        </w:rPr>
        <w:t>v</w:t>
      </w:r>
      <w:r w:rsidRPr="004A669C">
        <w:rPr>
          <w:spacing w:val="-1"/>
        </w:rPr>
        <w:t>i</w:t>
      </w:r>
      <w:r w:rsidRPr="004A669C">
        <w:t xml:space="preserve">nce de considérer d’autres mises à niveau du système informatique et de modifier </w:t>
      </w:r>
      <w:r w:rsidR="00F131C6" w:rsidRPr="004A669C">
        <w:t>l</w:t>
      </w:r>
      <w:r w:rsidRPr="004A669C">
        <w:t xml:space="preserve">es processus d’exploitation du système, </w:t>
      </w:r>
      <w:r w:rsidR="00F131C6" w:rsidRPr="004A669C">
        <w:t xml:space="preserve">notamment en ce qui a trait </w:t>
      </w:r>
      <w:r w:rsidR="0050076B" w:rsidRPr="004A669C">
        <w:t xml:space="preserve">aux aspects </w:t>
      </w:r>
      <w:r w:rsidR="004A669C" w:rsidRPr="004A669C">
        <w:t xml:space="preserve">dont il est question </w:t>
      </w:r>
      <w:r w:rsidR="0050076B" w:rsidRPr="004A669C">
        <w:t>ci-dessous.</w:t>
      </w:r>
    </w:p>
    <w:p w:rsidR="00047FAE" w:rsidRDefault="00047FAE">
      <w:pPr>
        <w:spacing w:line="240" w:lineRule="exact"/>
        <w:rPr>
          <w:sz w:val="24"/>
          <w:szCs w:val="24"/>
        </w:rPr>
      </w:pPr>
    </w:p>
    <w:p w:rsidR="00047FAE" w:rsidRDefault="006D600B" w:rsidP="004A669C">
      <w:pPr>
        <w:pStyle w:val="BodyText"/>
        <w:numPr>
          <w:ilvl w:val="0"/>
          <w:numId w:val="25"/>
        </w:numPr>
        <w:tabs>
          <w:tab w:val="left" w:pos="1559"/>
        </w:tabs>
        <w:ind w:firstLine="720"/>
      </w:pPr>
      <w:bookmarkStart w:id="42" w:name="(a)_PDF_search_results_should_be_made_se"/>
      <w:bookmarkEnd w:id="42"/>
      <w:r w:rsidRPr="004A669C">
        <w:t>Rendre consultables l</w:t>
      </w:r>
      <w:r w:rsidR="00F131C6" w:rsidRPr="004A669C">
        <w:t>es résultats de recherche en format PDF</w:t>
      </w:r>
    </w:p>
    <w:p w:rsidR="00047FAE" w:rsidRDefault="00047FAE">
      <w:pPr>
        <w:spacing w:line="240" w:lineRule="exact"/>
        <w:rPr>
          <w:sz w:val="24"/>
          <w:szCs w:val="24"/>
        </w:rPr>
      </w:pPr>
    </w:p>
    <w:p w:rsidR="00047FAE" w:rsidRDefault="0050076B">
      <w:pPr>
        <w:pStyle w:val="BodyText"/>
        <w:ind w:right="117"/>
        <w:jc w:val="both"/>
      </w:pPr>
      <w:r w:rsidRPr="004A669C">
        <w:rPr>
          <w:spacing w:val="2"/>
        </w:rPr>
        <w:t>Le certificat de recherche délivré sur papier en vertu de la LSM en ce moment n’est pas convivial. Il ne permet pas d’obtenir des résumés de recherche ou d’extraire des données particulières.</w:t>
      </w:r>
    </w:p>
    <w:p w:rsidR="00047FAE" w:rsidRDefault="00047FAE">
      <w:pPr>
        <w:spacing w:line="240" w:lineRule="exact"/>
        <w:rPr>
          <w:sz w:val="24"/>
          <w:szCs w:val="24"/>
        </w:rPr>
      </w:pPr>
    </w:p>
    <w:p w:rsidR="00047FAE" w:rsidRDefault="0050076B">
      <w:pPr>
        <w:pStyle w:val="BodyText"/>
        <w:ind w:right="115"/>
        <w:jc w:val="both"/>
      </w:pPr>
      <w:r w:rsidRPr="004A669C">
        <w:rPr>
          <w:spacing w:val="-1"/>
        </w:rPr>
        <w:t xml:space="preserve">Des </w:t>
      </w:r>
      <w:r w:rsidRPr="004A669C">
        <w:t>P</w:t>
      </w:r>
      <w:r w:rsidRPr="004A669C">
        <w:rPr>
          <w:spacing w:val="-1"/>
        </w:rPr>
        <w:t>D</w:t>
      </w:r>
      <w:r w:rsidRPr="004A669C">
        <w:t xml:space="preserve">F consultables permettraient </w:t>
      </w:r>
      <w:r w:rsidR="004A669C" w:rsidRPr="004A669C">
        <w:t>la lecture de</w:t>
      </w:r>
      <w:r w:rsidRPr="004A669C">
        <w:t xml:space="preserve"> données mieux ciblées dans le cas de résultats de recherche à grand volume pour t</w:t>
      </w:r>
      <w:r w:rsidRPr="004A669C">
        <w:rPr>
          <w:spacing w:val="-1"/>
        </w:rPr>
        <w:t>r</w:t>
      </w:r>
      <w:r w:rsidRPr="004A669C">
        <w:rPr>
          <w:spacing w:val="-2"/>
        </w:rPr>
        <w:t>a</w:t>
      </w:r>
      <w:r w:rsidRPr="004A669C">
        <w:t>nsact</w:t>
      </w:r>
      <w:r w:rsidRPr="004A669C">
        <w:rPr>
          <w:spacing w:val="-3"/>
        </w:rPr>
        <w:t>i</w:t>
      </w:r>
      <w:r w:rsidRPr="004A669C">
        <w:t xml:space="preserve">ons d’affaires. </w:t>
      </w:r>
      <w:r w:rsidR="007309FF">
        <w:rPr>
          <w:spacing w:val="55"/>
        </w:rPr>
        <w:t xml:space="preserve"> </w:t>
      </w:r>
      <w:r w:rsidRPr="004A669C">
        <w:rPr>
          <w:spacing w:val="-2"/>
        </w:rPr>
        <w:t>Cette fonctionnalité permettrait d’économiser sur le coût de commis ou de stagiaires dont le mandat consiste à fair</w:t>
      </w:r>
      <w:r w:rsidR="008E0D6D" w:rsidRPr="004A669C">
        <w:rPr>
          <w:spacing w:val="-2"/>
        </w:rPr>
        <w:t>e des résumé</w:t>
      </w:r>
      <w:r w:rsidRPr="004A669C">
        <w:rPr>
          <w:spacing w:val="-2"/>
        </w:rPr>
        <w:t xml:space="preserve">s </w:t>
      </w:r>
      <w:r w:rsidR="008E0D6D" w:rsidRPr="004A669C">
        <w:rPr>
          <w:spacing w:val="-2"/>
        </w:rPr>
        <w:t>pour satisfaire aux exigences de diligence raisonnable et d’énonciation d’</w:t>
      </w:r>
      <w:r w:rsidR="008E0D6D" w:rsidRPr="004A669C">
        <w:t>op</w:t>
      </w:r>
      <w:r w:rsidR="008E0D6D" w:rsidRPr="004A669C">
        <w:rPr>
          <w:spacing w:val="-3"/>
        </w:rPr>
        <w:t>i</w:t>
      </w:r>
      <w:r w:rsidR="008E0D6D" w:rsidRPr="004A669C">
        <w:t>n</w:t>
      </w:r>
      <w:r w:rsidR="008E0D6D" w:rsidRPr="004A669C">
        <w:rPr>
          <w:spacing w:val="-1"/>
        </w:rPr>
        <w:t>i</w:t>
      </w:r>
      <w:r w:rsidR="008E0D6D" w:rsidRPr="004A669C">
        <w:t xml:space="preserve">ons, ou encore, d’éviter </w:t>
      </w:r>
      <w:r w:rsidR="00B216F4" w:rsidRPr="004A669C">
        <w:t xml:space="preserve">d’acheter un résumé de recherche </w:t>
      </w:r>
      <w:r w:rsidR="00DB5207" w:rsidRPr="004A669C">
        <w:t>officieux</w:t>
      </w:r>
      <w:r w:rsidR="00B216F4" w:rsidRPr="004A669C">
        <w:t xml:space="preserve"> auprès d’un tiers,</w:t>
      </w:r>
      <w:r w:rsidR="00DB5207" w:rsidRPr="004A669C">
        <w:t xml:space="preserve"> après quoi ce résumé doit être corroboré contre une recherche officielle.</w:t>
      </w:r>
      <w:r w:rsidR="00B216F4" w:rsidRPr="004A669C">
        <w:t xml:space="preserve"> </w:t>
      </w:r>
    </w:p>
    <w:p w:rsidR="00047FAE" w:rsidRDefault="006D600B" w:rsidP="00D172C3">
      <w:pPr>
        <w:pStyle w:val="BodyText"/>
        <w:numPr>
          <w:ilvl w:val="0"/>
          <w:numId w:val="25"/>
        </w:numPr>
        <w:tabs>
          <w:tab w:val="left" w:pos="1559"/>
        </w:tabs>
        <w:ind w:left="119" w:right="119" w:firstLine="720"/>
      </w:pPr>
      <w:bookmarkStart w:id="43" w:name="(b)_End_the_difference_between_verbal_an"/>
      <w:bookmarkEnd w:id="43"/>
      <w:r w:rsidRPr="004A669C">
        <w:t xml:space="preserve">Mettre fin à la différence entre les recherches verbales et les recherches officielles imprimées </w:t>
      </w:r>
      <w:r w:rsidR="00E841FA" w:rsidRPr="004A669C">
        <w:t>pendant la nuit</w:t>
      </w:r>
      <w:r w:rsidR="00E841FA" w:rsidRPr="004A669C">
        <w:br/>
        <w:t>Le fait de ne plus produire les recherches sur papier et de permettre les recherches électroniques sur P</w:t>
      </w:r>
      <w:r w:rsidR="00E841FA" w:rsidRPr="004A669C">
        <w:rPr>
          <w:spacing w:val="-1"/>
        </w:rPr>
        <w:t>D</w:t>
      </w:r>
      <w:r w:rsidR="00E841FA" w:rsidRPr="004A669C">
        <w:t>F devrait faire en sorte que</w:t>
      </w:r>
    </w:p>
    <w:p w:rsidR="00047FAE" w:rsidRDefault="00E841FA">
      <w:pPr>
        <w:pStyle w:val="BodyText"/>
        <w:ind w:right="118"/>
        <w:jc w:val="both"/>
      </w:pPr>
      <w:r w:rsidRPr="004A669C">
        <w:t>toutes les recherches donnent des résultats officiels.</w:t>
      </w:r>
      <w:r w:rsidR="007309FF">
        <w:rPr>
          <w:spacing w:val="17"/>
        </w:rPr>
        <w:t xml:space="preserve"> </w:t>
      </w:r>
      <w:r w:rsidR="00C55D5E" w:rsidRPr="004A669C">
        <w:rPr>
          <w:spacing w:val="2"/>
        </w:rPr>
        <w:t>Les résultats officiels constitueraient le rapport de recherche numérisé envoyé par le ministère.</w:t>
      </w:r>
    </w:p>
    <w:p w:rsidR="00047FAE" w:rsidRDefault="00047FAE">
      <w:pPr>
        <w:spacing w:line="240" w:lineRule="exact"/>
        <w:rPr>
          <w:sz w:val="24"/>
          <w:szCs w:val="24"/>
        </w:rPr>
      </w:pPr>
    </w:p>
    <w:p w:rsidR="00047FAE" w:rsidRDefault="0048269E" w:rsidP="004A669C">
      <w:pPr>
        <w:pStyle w:val="BodyText"/>
        <w:numPr>
          <w:ilvl w:val="0"/>
          <w:numId w:val="25"/>
        </w:numPr>
        <w:tabs>
          <w:tab w:val="left" w:pos="1559"/>
        </w:tabs>
        <w:ind w:left="1560"/>
      </w:pPr>
      <w:bookmarkStart w:id="44" w:name="(c)_Real-time_searching"/>
      <w:bookmarkEnd w:id="44"/>
      <w:r w:rsidRPr="004A669C">
        <w:rPr>
          <w:spacing w:val="-1"/>
        </w:rPr>
        <w:t>Faire des recherches</w:t>
      </w:r>
      <w:r w:rsidR="00C55D5E" w:rsidRPr="004A669C">
        <w:rPr>
          <w:spacing w:val="-1"/>
        </w:rPr>
        <w:t xml:space="preserve"> en temps réel</w:t>
      </w:r>
    </w:p>
    <w:p w:rsidR="00047FAE" w:rsidRDefault="00047FAE">
      <w:pPr>
        <w:spacing w:line="240" w:lineRule="exact"/>
        <w:rPr>
          <w:sz w:val="24"/>
          <w:szCs w:val="24"/>
        </w:rPr>
      </w:pPr>
    </w:p>
    <w:p w:rsidR="00047FAE" w:rsidRDefault="00C55D5E" w:rsidP="00D172C3">
      <w:pPr>
        <w:pStyle w:val="BodyText"/>
        <w:ind w:right="115"/>
        <w:jc w:val="both"/>
      </w:pPr>
      <w:r w:rsidRPr="004A669C">
        <w:rPr>
          <w:spacing w:val="2"/>
        </w:rPr>
        <w:t xml:space="preserve">La recherche en temps réel existe déjà dans d’autres </w:t>
      </w:r>
      <w:r w:rsidRPr="004A669C">
        <w:t>p</w:t>
      </w:r>
      <w:r w:rsidRPr="004A669C">
        <w:rPr>
          <w:spacing w:val="-1"/>
        </w:rPr>
        <w:t>r</w:t>
      </w:r>
      <w:r w:rsidRPr="004A669C">
        <w:t>o</w:t>
      </w:r>
      <w:r w:rsidRPr="004A669C">
        <w:rPr>
          <w:spacing w:val="-3"/>
        </w:rPr>
        <w:t>v</w:t>
      </w:r>
      <w:r w:rsidRPr="004A669C">
        <w:rPr>
          <w:spacing w:val="-1"/>
        </w:rPr>
        <w:t>i</w:t>
      </w:r>
      <w:r w:rsidRPr="004A669C">
        <w:t>nces,</w:t>
      </w:r>
      <w:r w:rsidR="004A669C" w:rsidRPr="004A669C">
        <w:t xml:space="preserve"> et elle est d’une grande utilité aux entités s</w:t>
      </w:r>
      <w:r w:rsidRPr="004A669C">
        <w:t>’occupant du financement de véhicules et d’équipement, car cela leur permet de faire des recherches à la minute près avant d’acheter</w:t>
      </w:r>
      <w:r w:rsidR="00BE6A5B" w:rsidRPr="004A669C">
        <w:t>,</w:t>
      </w:r>
      <w:r w:rsidR="00D172C3">
        <w:t xml:space="preserve"> </w:t>
      </w:r>
      <w:r w:rsidR="00BE6A5B" w:rsidRPr="00F854F6">
        <w:t xml:space="preserve">d’échanger, de vendre, de faire des ventes aux enchères et de faire </w:t>
      </w:r>
      <w:r w:rsidR="004A669C" w:rsidRPr="00F854F6">
        <w:t xml:space="preserve">des </w:t>
      </w:r>
      <w:r w:rsidR="00BE6A5B" w:rsidRPr="00F854F6">
        <w:t>affaire</w:t>
      </w:r>
      <w:r w:rsidR="004A669C" w:rsidRPr="00F854F6">
        <w:t>s</w:t>
      </w:r>
      <w:r w:rsidR="00BE6A5B" w:rsidRPr="00F854F6">
        <w:t xml:space="preserve"> avec les fournisseurs </w:t>
      </w:r>
      <w:r w:rsidR="006526FC" w:rsidRPr="00F854F6">
        <w:t xml:space="preserve">pour vérifier s'il existe des privilèges pour réparations (sans </w:t>
      </w:r>
      <w:r w:rsidR="004F7AB8">
        <w:t>limites</w:t>
      </w:r>
      <w:r w:rsidR="006526FC" w:rsidRPr="00F854F6">
        <w:t xml:space="preserve"> de temps d’enregistrement en vertu de la LPRE), </w:t>
      </w:r>
      <w:r w:rsidR="004A669C" w:rsidRPr="00F854F6">
        <w:t xml:space="preserve">pour </w:t>
      </w:r>
      <w:r w:rsidR="006526FC" w:rsidRPr="00F854F6">
        <w:t>s'acquitter de la d</w:t>
      </w:r>
      <w:r w:rsidR="006526FC" w:rsidRPr="00F854F6">
        <w:rPr>
          <w:spacing w:val="-1"/>
        </w:rPr>
        <w:t>ili</w:t>
      </w:r>
      <w:r w:rsidR="006526FC" w:rsidRPr="00F854F6">
        <w:rPr>
          <w:spacing w:val="-2"/>
        </w:rPr>
        <w:t>g</w:t>
      </w:r>
      <w:r w:rsidR="006526FC" w:rsidRPr="00F854F6">
        <w:t xml:space="preserve">ence </w:t>
      </w:r>
      <w:r w:rsidR="004A669C" w:rsidRPr="00F854F6">
        <w:t>raisonnable au moment de la conclusion du marché</w:t>
      </w:r>
      <w:r w:rsidR="00055A12" w:rsidRPr="00F854F6">
        <w:t xml:space="preserve">, </w:t>
      </w:r>
      <w:r w:rsidR="004A669C" w:rsidRPr="00F854F6">
        <w:t xml:space="preserve">pour </w:t>
      </w:r>
      <w:r w:rsidR="00055A12" w:rsidRPr="00F854F6">
        <w:t>préparer les trousses d’information sur les véhicules usagés, et ainsi de suite.</w:t>
      </w:r>
      <w:r w:rsidR="007309FF">
        <w:rPr>
          <w:spacing w:val="27"/>
        </w:rPr>
        <w:t xml:space="preserve"> </w:t>
      </w:r>
      <w:r w:rsidR="00055A12" w:rsidRPr="00F854F6">
        <w:t>Plus de 80 pour cent des enregistrements en vertu de la LSM et de la LPRE ont un NIV.</w:t>
      </w:r>
    </w:p>
    <w:p w:rsidR="00047FAE" w:rsidRDefault="00047FAE">
      <w:pPr>
        <w:spacing w:line="240" w:lineRule="exact"/>
        <w:rPr>
          <w:sz w:val="24"/>
          <w:szCs w:val="24"/>
        </w:rPr>
      </w:pPr>
    </w:p>
    <w:p w:rsidR="00047FAE" w:rsidRDefault="00055A12">
      <w:pPr>
        <w:pStyle w:val="BodyText"/>
        <w:ind w:left="100" w:right="118"/>
        <w:jc w:val="both"/>
      </w:pPr>
      <w:r w:rsidRPr="00F854F6">
        <w:lastRenderedPageBreak/>
        <w:t>Il ne faut pas oublier que ce volume de recherche va augmenter si la LSM et la LPRE prennent de l’ampleur au point de ne pas se limiter aux descriptions de véhicules motorisés dans la base de données en fonction de l’année, de la marque, du modèle et des numéros de série.</w:t>
      </w:r>
    </w:p>
    <w:p w:rsidR="00047FAE" w:rsidRDefault="00047FAE">
      <w:pPr>
        <w:spacing w:line="240" w:lineRule="exact"/>
        <w:rPr>
          <w:sz w:val="24"/>
          <w:szCs w:val="24"/>
        </w:rPr>
      </w:pPr>
    </w:p>
    <w:p w:rsidR="00047FAE" w:rsidRDefault="00055A12" w:rsidP="00F854F6">
      <w:pPr>
        <w:pStyle w:val="BodyText"/>
        <w:numPr>
          <w:ilvl w:val="0"/>
          <w:numId w:val="25"/>
        </w:numPr>
        <w:tabs>
          <w:tab w:val="left" w:pos="1539"/>
        </w:tabs>
        <w:ind w:left="1540" w:right="120"/>
      </w:pPr>
      <w:bookmarkStart w:id="45" w:name="(d)_Ending_the_check_the_box_system_and_"/>
      <w:bookmarkEnd w:id="45"/>
      <w:r w:rsidRPr="00F854F6">
        <w:t>Mettre fin au système de cases à cocher</w:t>
      </w:r>
      <w:r w:rsidR="00F854F6" w:rsidRPr="00F854F6">
        <w:t>,</w:t>
      </w:r>
      <w:r w:rsidRPr="00F854F6">
        <w:t xml:space="preserve"> </w:t>
      </w:r>
      <w:r w:rsidR="00F854F6" w:rsidRPr="00F854F6">
        <w:t xml:space="preserve">et </w:t>
      </w:r>
      <w:r w:rsidRPr="00F854F6">
        <w:t>décrire les garanties</w:t>
      </w:r>
    </w:p>
    <w:p w:rsidR="00047FAE" w:rsidRDefault="00047FAE">
      <w:pPr>
        <w:spacing w:line="240" w:lineRule="exact"/>
        <w:rPr>
          <w:sz w:val="24"/>
          <w:szCs w:val="24"/>
        </w:rPr>
      </w:pPr>
    </w:p>
    <w:p w:rsidR="00047FAE" w:rsidRDefault="00055A12">
      <w:pPr>
        <w:pStyle w:val="BodyText"/>
        <w:ind w:left="100" w:right="117"/>
        <w:jc w:val="both"/>
      </w:pPr>
      <w:r w:rsidRPr="00F854F6">
        <w:rPr>
          <w:spacing w:val="2"/>
        </w:rPr>
        <w:t xml:space="preserve">Cette modification à la LSM a été adoptée en </w:t>
      </w:r>
      <w:r w:rsidRPr="00F854F6">
        <w:t>20</w:t>
      </w:r>
      <w:r w:rsidRPr="00F854F6">
        <w:rPr>
          <w:spacing w:val="-2"/>
        </w:rPr>
        <w:t>0</w:t>
      </w:r>
      <w:r w:rsidRPr="00F854F6">
        <w:t xml:space="preserve">6, mais elle n’a toujours pas été mise en </w:t>
      </w:r>
      <w:r w:rsidR="00F854F6" w:rsidRPr="00F854F6">
        <w:t>application</w:t>
      </w:r>
      <w:r w:rsidRPr="00F854F6">
        <w:t xml:space="preserve"> parce que le système informatique n’a toujours pas été mis à niveau.</w:t>
      </w:r>
    </w:p>
    <w:p w:rsidR="00047FAE" w:rsidRDefault="00047FAE">
      <w:pPr>
        <w:spacing w:line="240" w:lineRule="exact"/>
        <w:rPr>
          <w:sz w:val="24"/>
          <w:szCs w:val="24"/>
        </w:rPr>
      </w:pPr>
    </w:p>
    <w:p w:rsidR="00047FAE" w:rsidRDefault="00055A12">
      <w:pPr>
        <w:pStyle w:val="BodyText"/>
        <w:ind w:left="100" w:right="117"/>
        <w:jc w:val="both"/>
      </w:pPr>
      <w:r w:rsidRPr="00F854F6">
        <w:rPr>
          <w:spacing w:val="6"/>
        </w:rPr>
        <w:t>À l’extérieur de l’</w:t>
      </w:r>
      <w:r w:rsidRPr="00F854F6">
        <w:t>On</w:t>
      </w:r>
      <w:r w:rsidRPr="00F854F6">
        <w:rPr>
          <w:spacing w:val="-2"/>
        </w:rPr>
        <w:t>t</w:t>
      </w:r>
      <w:r w:rsidRPr="00F854F6">
        <w:t>a</w:t>
      </w:r>
      <w:r w:rsidRPr="00F854F6">
        <w:rPr>
          <w:spacing w:val="-1"/>
        </w:rPr>
        <w:t>ri</w:t>
      </w:r>
      <w:r w:rsidRPr="00F854F6">
        <w:rPr>
          <w:spacing w:val="-2"/>
        </w:rPr>
        <w:t>o, les déclarants peuvent obtenir des descriptions des garanties.</w:t>
      </w:r>
      <w:r w:rsidR="007309FF">
        <w:t xml:space="preserve"> </w:t>
      </w:r>
      <w:r w:rsidRPr="00F854F6">
        <w:t xml:space="preserve">En raison du système de cases à cocher employé en </w:t>
      </w:r>
      <w:r w:rsidRPr="00F854F6">
        <w:rPr>
          <w:spacing w:val="-2"/>
        </w:rPr>
        <w:t>O</w:t>
      </w:r>
      <w:r w:rsidRPr="00F854F6">
        <w:t>nta</w:t>
      </w:r>
      <w:r w:rsidRPr="00F854F6">
        <w:rPr>
          <w:spacing w:val="-1"/>
        </w:rPr>
        <w:t>ri</w:t>
      </w:r>
      <w:r w:rsidRPr="00F854F6">
        <w:t>o (ce système remonte à l’époque où les mémoires d’or</w:t>
      </w:r>
      <w:r w:rsidR="00B16993" w:rsidRPr="00F854F6">
        <w:t xml:space="preserve">dinateurs coûtaient cher), il faut consacrer beaucoup de temps et d’argent à l’obtention de </w:t>
      </w:r>
      <w:r w:rsidR="0048269E" w:rsidRPr="00F854F6">
        <w:t xml:space="preserve">lettres de </w:t>
      </w:r>
      <w:r w:rsidR="00B16993" w:rsidRPr="00F854F6">
        <w:t xml:space="preserve">renonciation ou de </w:t>
      </w:r>
      <w:r w:rsidR="0036242E" w:rsidRPr="00F854F6">
        <w:t>préclusion par les tiers</w:t>
      </w:r>
      <w:r w:rsidR="0048269E" w:rsidRPr="00F854F6">
        <w:t xml:space="preserve"> afin que ceux-ci clarifient les garanties auxquel</w:t>
      </w:r>
      <w:r w:rsidR="004F7AB8">
        <w:t>les</w:t>
      </w:r>
      <w:r w:rsidR="0048269E" w:rsidRPr="00F854F6">
        <w:t xml:space="preserve"> ils ont droit, par exemple, lorsqu’ils mettent un « X » dans la case « équipement » ou « inventaire », sans description.</w:t>
      </w:r>
      <w:r w:rsidR="0036242E" w:rsidRPr="00F854F6">
        <w:t xml:space="preserve"> </w:t>
      </w:r>
      <w:r w:rsidR="007309FF">
        <w:t xml:space="preserve"> </w:t>
      </w:r>
      <w:r w:rsidR="0048269E" w:rsidRPr="00F854F6">
        <w:rPr>
          <w:spacing w:val="2"/>
        </w:rPr>
        <w:t>Cela s'ajoute au coût des transactions, sans compter qu’il faut du temps pour envoyer les lettres et consigner les réponses.</w:t>
      </w:r>
    </w:p>
    <w:p w:rsidR="00047FAE" w:rsidRDefault="00047FAE">
      <w:pPr>
        <w:spacing w:line="240" w:lineRule="exact"/>
        <w:rPr>
          <w:sz w:val="24"/>
          <w:szCs w:val="24"/>
        </w:rPr>
      </w:pPr>
    </w:p>
    <w:p w:rsidR="00047FAE" w:rsidRDefault="0048269E" w:rsidP="00F854F6">
      <w:pPr>
        <w:pStyle w:val="BodyText"/>
        <w:numPr>
          <w:ilvl w:val="0"/>
          <w:numId w:val="25"/>
        </w:numPr>
        <w:tabs>
          <w:tab w:val="left" w:pos="1539"/>
        </w:tabs>
        <w:ind w:left="1540"/>
      </w:pPr>
      <w:bookmarkStart w:id="46" w:name="(e)_Reduction_of_fraudulent_discharges"/>
      <w:bookmarkEnd w:id="46"/>
      <w:r w:rsidRPr="00F854F6">
        <w:rPr>
          <w:spacing w:val="-1"/>
        </w:rPr>
        <w:t xml:space="preserve">Réduire </w:t>
      </w:r>
      <w:r w:rsidR="00A47999" w:rsidRPr="00F854F6">
        <w:rPr>
          <w:spacing w:val="-1"/>
        </w:rPr>
        <w:t>les mainlevées frauduleuses</w:t>
      </w:r>
    </w:p>
    <w:p w:rsidR="00047FAE" w:rsidRDefault="00047FAE">
      <w:pPr>
        <w:spacing w:line="240" w:lineRule="exact"/>
        <w:rPr>
          <w:sz w:val="24"/>
          <w:szCs w:val="24"/>
        </w:rPr>
      </w:pPr>
    </w:p>
    <w:p w:rsidR="00047FAE" w:rsidRDefault="00A47999">
      <w:pPr>
        <w:pStyle w:val="BodyText"/>
        <w:ind w:left="100" w:right="118"/>
        <w:jc w:val="both"/>
      </w:pPr>
      <w:r w:rsidRPr="00F854F6">
        <w:rPr>
          <w:spacing w:val="-1"/>
        </w:rPr>
        <w:t>Des fraudeurs réussissent à délivrer des certificats de m</w:t>
      </w:r>
      <w:r w:rsidR="00F854F6" w:rsidRPr="00F854F6">
        <w:rPr>
          <w:spacing w:val="-1"/>
        </w:rPr>
        <w:t xml:space="preserve">ainlevée à l'égard </w:t>
      </w:r>
      <w:r w:rsidRPr="00F854F6">
        <w:rPr>
          <w:spacing w:val="-1"/>
        </w:rPr>
        <w:t xml:space="preserve">d’enregistrements de parties </w:t>
      </w:r>
      <w:r w:rsidR="00997683" w:rsidRPr="00F854F6">
        <w:rPr>
          <w:spacing w:val="-1"/>
        </w:rPr>
        <w:t>garanti</w:t>
      </w:r>
      <w:r w:rsidRPr="00F854F6">
        <w:rPr>
          <w:spacing w:val="-1"/>
        </w:rPr>
        <w:t xml:space="preserve">es afin de permettre la revente sans encombre des biens garantis. </w:t>
      </w:r>
      <w:r w:rsidR="007309FF">
        <w:rPr>
          <w:spacing w:val="11"/>
        </w:rPr>
        <w:t xml:space="preserve"> </w:t>
      </w:r>
      <w:r w:rsidRPr="0018434D">
        <w:rPr>
          <w:spacing w:val="-1"/>
        </w:rPr>
        <w:t>Par exemple, les voleurs de véhicules procèdent de la sorte</w:t>
      </w:r>
      <w:r w:rsidR="00141E5F" w:rsidRPr="0018434D">
        <w:rPr>
          <w:spacing w:val="-1"/>
        </w:rPr>
        <w:t xml:space="preserve"> lorsqu’ils veulent exporter un véhicule volé du C</w:t>
      </w:r>
      <w:r w:rsidR="00141E5F" w:rsidRPr="0018434D">
        <w:rPr>
          <w:spacing w:val="-2"/>
        </w:rPr>
        <w:t>a</w:t>
      </w:r>
      <w:r w:rsidR="00141E5F" w:rsidRPr="0018434D">
        <w:t>n</w:t>
      </w:r>
      <w:r w:rsidR="00141E5F" w:rsidRPr="0018434D">
        <w:rPr>
          <w:spacing w:val="-2"/>
        </w:rPr>
        <w:t>a</w:t>
      </w:r>
      <w:r w:rsidR="00141E5F" w:rsidRPr="0018434D">
        <w:t>da.</w:t>
      </w:r>
    </w:p>
    <w:p w:rsidR="00047FAE" w:rsidRDefault="00047FAE">
      <w:pPr>
        <w:spacing w:line="240" w:lineRule="exact"/>
        <w:rPr>
          <w:sz w:val="24"/>
          <w:szCs w:val="24"/>
        </w:rPr>
      </w:pPr>
    </w:p>
    <w:p w:rsidR="00047FAE" w:rsidRDefault="00141E5F">
      <w:pPr>
        <w:pStyle w:val="BodyText"/>
        <w:ind w:left="100" w:right="115"/>
        <w:jc w:val="both"/>
      </w:pPr>
      <w:r w:rsidRPr="0018434D">
        <w:t>En Saskat</w:t>
      </w:r>
      <w:r w:rsidRPr="0018434D">
        <w:rPr>
          <w:spacing w:val="-3"/>
        </w:rPr>
        <w:t>c</w:t>
      </w:r>
      <w:r w:rsidRPr="0018434D">
        <w:t>he</w:t>
      </w:r>
      <w:r w:rsidRPr="0018434D">
        <w:rPr>
          <w:spacing w:val="-3"/>
        </w:rPr>
        <w:t>w</w:t>
      </w:r>
      <w:r w:rsidRPr="0018434D">
        <w:t>an</w:t>
      </w:r>
      <w:r w:rsidR="00997683" w:rsidRPr="0018434D">
        <w:t xml:space="preserve">, les </w:t>
      </w:r>
      <w:r w:rsidR="0018434D" w:rsidRPr="0018434D">
        <w:t>entités</w:t>
      </w:r>
      <w:r w:rsidR="00997683" w:rsidRPr="0018434D">
        <w:t xml:space="preserve"> </w:t>
      </w:r>
      <w:r w:rsidR="0018434D" w:rsidRPr="0018434D">
        <w:t>sécurisées</w:t>
      </w:r>
      <w:r w:rsidR="00997683" w:rsidRPr="0018434D">
        <w:t xml:space="preserve"> ont leur propre code d’</w:t>
      </w:r>
      <w:r w:rsidR="00997683" w:rsidRPr="0018434D">
        <w:rPr>
          <w:spacing w:val="-1"/>
        </w:rPr>
        <w:t>i</w:t>
      </w:r>
      <w:r w:rsidR="00997683" w:rsidRPr="0018434D">
        <w:t>dent</w:t>
      </w:r>
      <w:r w:rsidR="00997683" w:rsidRPr="0018434D">
        <w:rPr>
          <w:spacing w:val="-1"/>
        </w:rPr>
        <w:t>i</w:t>
      </w:r>
      <w:r w:rsidR="00997683" w:rsidRPr="0018434D">
        <w:rPr>
          <w:spacing w:val="2"/>
        </w:rPr>
        <w:t>f</w:t>
      </w:r>
      <w:r w:rsidR="00997683" w:rsidRPr="0018434D">
        <w:rPr>
          <w:spacing w:val="-1"/>
        </w:rPr>
        <w:t>i</w:t>
      </w:r>
      <w:r w:rsidR="00997683" w:rsidRPr="0018434D">
        <w:t>c</w:t>
      </w:r>
      <w:r w:rsidR="00997683" w:rsidRPr="0018434D">
        <w:rPr>
          <w:spacing w:val="-2"/>
        </w:rPr>
        <w:t>a</w:t>
      </w:r>
      <w:r w:rsidR="00997683" w:rsidRPr="0018434D">
        <w:t>t</w:t>
      </w:r>
      <w:r w:rsidR="00997683" w:rsidRPr="0018434D">
        <w:rPr>
          <w:spacing w:val="-1"/>
        </w:rPr>
        <w:t>i</w:t>
      </w:r>
      <w:r w:rsidR="00997683" w:rsidRPr="0018434D">
        <w:t>on.</w:t>
      </w:r>
      <w:r w:rsidR="007309FF">
        <w:rPr>
          <w:spacing w:val="6"/>
        </w:rPr>
        <w:t xml:space="preserve"> </w:t>
      </w:r>
      <w:r w:rsidR="00997683" w:rsidRPr="0018434D">
        <w:rPr>
          <w:spacing w:val="2"/>
        </w:rPr>
        <w:t>Pour officialiser une mainlevée à l’égard de l’enregistrement d’une partie garantie, l’utilisateur doit se servir de son code d’identification.</w:t>
      </w:r>
      <w:r w:rsidR="007309FF">
        <w:rPr>
          <w:spacing w:val="4"/>
        </w:rPr>
        <w:t xml:space="preserve"> </w:t>
      </w:r>
      <w:r w:rsidR="00997683" w:rsidRPr="00BF4D81">
        <w:t>En O</w:t>
      </w:r>
      <w:r w:rsidR="00997683" w:rsidRPr="00BF4D81">
        <w:rPr>
          <w:spacing w:val="-2"/>
        </w:rPr>
        <w:t>n</w:t>
      </w:r>
      <w:r w:rsidR="00997683" w:rsidRPr="00BF4D81">
        <w:t>ta</w:t>
      </w:r>
      <w:r w:rsidR="00997683" w:rsidRPr="00BF4D81">
        <w:rPr>
          <w:spacing w:val="-1"/>
        </w:rPr>
        <w:t>ri</w:t>
      </w:r>
      <w:r w:rsidR="00997683" w:rsidRPr="00BF4D81">
        <w:t xml:space="preserve">o, de nombreuses tentatives ont été faites pour atténuer les fraudes </w:t>
      </w:r>
      <w:r w:rsidR="001D6DA7" w:rsidRPr="00BF4D81">
        <w:t>en réduisant l’utilisation de cartes de crédit</w:t>
      </w:r>
      <w:r w:rsidR="0018434D" w:rsidRPr="00BF4D81">
        <w:t xml:space="preserve"> pour</w:t>
      </w:r>
      <w:r w:rsidR="00507DBE" w:rsidRPr="00BF4D81">
        <w:t xml:space="preserve"> payer </w:t>
      </w:r>
      <w:r w:rsidR="0018434D" w:rsidRPr="00BF4D81">
        <w:t>les transactions d’</w:t>
      </w:r>
      <w:r w:rsidR="00507DBE" w:rsidRPr="00BF4D81">
        <w:t>enregistrements uniques.</w:t>
      </w:r>
      <w:r w:rsidR="007309FF">
        <w:rPr>
          <w:spacing w:val="14"/>
        </w:rPr>
        <w:t xml:space="preserve"> </w:t>
      </w:r>
      <w:r w:rsidR="00507DBE" w:rsidRPr="00BF4D81">
        <w:rPr>
          <w:spacing w:val="-2"/>
        </w:rPr>
        <w:t xml:space="preserve">L’adoption d'un code d’identification ou d’un autre mécanisme de sécurité aiderait à mettre fin à la fraude et au vol de </w:t>
      </w:r>
      <w:r w:rsidR="008E424D" w:rsidRPr="00BF4D81">
        <w:rPr>
          <w:spacing w:val="-2"/>
        </w:rPr>
        <w:t>biens donnés en garantie.</w:t>
      </w:r>
    </w:p>
    <w:p w:rsidR="00047FAE" w:rsidRDefault="00047FAE">
      <w:pPr>
        <w:spacing w:line="240" w:lineRule="exact"/>
        <w:rPr>
          <w:sz w:val="24"/>
          <w:szCs w:val="24"/>
        </w:rPr>
      </w:pPr>
    </w:p>
    <w:p w:rsidR="00047FAE" w:rsidRPr="00BF4D81" w:rsidRDefault="008E424D" w:rsidP="00DF064B">
      <w:pPr>
        <w:numPr>
          <w:ilvl w:val="0"/>
          <w:numId w:val="26"/>
        </w:numPr>
        <w:tabs>
          <w:tab w:val="left" w:pos="820"/>
        </w:tabs>
        <w:ind w:left="820" w:right="2937"/>
        <w:jc w:val="both"/>
        <w:rPr>
          <w:rFonts w:ascii="Arial" w:eastAsia="Arial" w:hAnsi="Arial" w:cs="Arial"/>
          <w:sz w:val="24"/>
          <w:szCs w:val="24"/>
        </w:rPr>
      </w:pPr>
      <w:bookmarkStart w:id="47" w:name="8._Changes_to_Definitions_in_the_AWA"/>
      <w:bookmarkEnd w:id="47"/>
      <w:r w:rsidRPr="00BF4D81">
        <w:rPr>
          <w:rFonts w:ascii="Arial" w:eastAsia="Arial" w:hAnsi="Arial" w:cs="Arial"/>
          <w:b/>
          <w:bCs/>
          <w:spacing w:val="-1"/>
          <w:sz w:val="24"/>
          <w:szCs w:val="24"/>
        </w:rPr>
        <w:t>Modifications aux définitions de la LAW</w:t>
      </w:r>
    </w:p>
    <w:p w:rsidR="00047FAE" w:rsidRDefault="00047FAE">
      <w:pPr>
        <w:spacing w:line="240" w:lineRule="exact"/>
        <w:rPr>
          <w:sz w:val="24"/>
          <w:szCs w:val="24"/>
        </w:rPr>
      </w:pPr>
    </w:p>
    <w:p w:rsidR="00047FAE" w:rsidRDefault="008E424D">
      <w:pPr>
        <w:ind w:left="100" w:right="563"/>
        <w:jc w:val="both"/>
        <w:rPr>
          <w:rFonts w:ascii="Arial" w:eastAsia="Arial" w:hAnsi="Arial" w:cs="Arial"/>
          <w:sz w:val="24"/>
          <w:szCs w:val="24"/>
        </w:rPr>
      </w:pPr>
      <w:bookmarkStart w:id="48" w:name="We_recommend_the_following_changes_to_th"/>
      <w:bookmarkEnd w:id="48"/>
      <w:r w:rsidRPr="00897DC6">
        <w:rPr>
          <w:rFonts w:ascii="Arial" w:eastAsia="Arial" w:hAnsi="Arial" w:cs="Arial"/>
          <w:b/>
          <w:bCs/>
          <w:spacing w:val="1"/>
          <w:sz w:val="24"/>
          <w:szCs w:val="24"/>
        </w:rPr>
        <w:t>Nous recommandons l’apport de modifications aux définitions de la LAW</w:t>
      </w:r>
      <w:r w:rsidR="00E16EF6" w:rsidRPr="00897DC6">
        <w:rPr>
          <w:rFonts w:ascii="Arial" w:eastAsia="Arial" w:hAnsi="Arial" w:cs="Arial"/>
          <w:b/>
          <w:bCs/>
          <w:spacing w:val="1"/>
          <w:sz w:val="24"/>
          <w:szCs w:val="24"/>
        </w:rPr>
        <w:t xml:space="preserve">, comme indiqué </w:t>
      </w:r>
      <w:r w:rsidRPr="00897DC6">
        <w:rPr>
          <w:rFonts w:ascii="Arial" w:eastAsia="Arial" w:hAnsi="Arial" w:cs="Arial"/>
          <w:b/>
          <w:bCs/>
          <w:spacing w:val="1"/>
          <w:sz w:val="24"/>
          <w:szCs w:val="24"/>
        </w:rPr>
        <w:t>ci-dessous.</w:t>
      </w:r>
    </w:p>
    <w:p w:rsidR="00047FAE" w:rsidRDefault="00047FAE">
      <w:pPr>
        <w:spacing w:line="240" w:lineRule="exact"/>
        <w:rPr>
          <w:sz w:val="24"/>
          <w:szCs w:val="24"/>
        </w:rPr>
      </w:pPr>
    </w:p>
    <w:p w:rsidR="00047FAE" w:rsidRDefault="00610727" w:rsidP="00897DC6">
      <w:pPr>
        <w:pStyle w:val="BodyText"/>
        <w:numPr>
          <w:ilvl w:val="0"/>
          <w:numId w:val="24"/>
        </w:numPr>
        <w:tabs>
          <w:tab w:val="left" w:pos="1539"/>
        </w:tabs>
        <w:ind w:left="1560" w:hanging="740"/>
      </w:pPr>
      <w:bookmarkStart w:id="49" w:name="(a)_Paragraph_1(1)(a)(i)_–_Definition_of"/>
      <w:bookmarkEnd w:id="49"/>
      <w:r w:rsidRPr="00897DC6">
        <w:t>Alinéa 1 (1)</w:t>
      </w:r>
      <w:r w:rsidR="00897DC6" w:rsidRPr="00897DC6">
        <w:t xml:space="preserve"> </w:t>
      </w:r>
      <w:r w:rsidRPr="00897DC6">
        <w:t>a)</w:t>
      </w:r>
      <w:r w:rsidR="00897DC6" w:rsidRPr="00897DC6">
        <w:t xml:space="preserve"> </w:t>
      </w:r>
      <w:r w:rsidRPr="00897DC6">
        <w:t>(ii) – Définition de « franchise »</w:t>
      </w:r>
      <w:r w:rsidR="00555FD6" w:rsidRPr="00897DC6">
        <w:t xml:space="preserve"> – </w:t>
      </w:r>
      <w:r w:rsidR="00E22A3A" w:rsidRPr="00897DC6">
        <w:t>Licence d’utilisation de marque de commerce</w:t>
      </w:r>
      <w:r w:rsidR="00A04950">
        <w:t xml:space="preserve"> </w:t>
      </w:r>
    </w:p>
    <w:p w:rsidR="00047FAE" w:rsidRDefault="00047FAE">
      <w:pPr>
        <w:spacing w:line="240" w:lineRule="exact"/>
        <w:rPr>
          <w:sz w:val="24"/>
          <w:szCs w:val="24"/>
        </w:rPr>
      </w:pPr>
    </w:p>
    <w:p w:rsidR="00047FAE" w:rsidRDefault="00E22A3A">
      <w:pPr>
        <w:ind w:left="100" w:right="118"/>
        <w:jc w:val="both"/>
        <w:rPr>
          <w:rFonts w:ascii="Arial" w:eastAsia="Arial" w:hAnsi="Arial" w:cs="Arial"/>
          <w:sz w:val="24"/>
          <w:szCs w:val="24"/>
        </w:rPr>
      </w:pPr>
      <w:r w:rsidRPr="003748C0">
        <w:rPr>
          <w:rFonts w:ascii="Arial" w:eastAsia="Arial" w:hAnsi="Arial" w:cs="Arial"/>
          <w:b/>
          <w:bCs/>
          <w:spacing w:val="1"/>
          <w:sz w:val="24"/>
          <w:szCs w:val="24"/>
        </w:rPr>
        <w:t>Nous recommandons les</w:t>
      </w:r>
      <w:r w:rsidR="00897DC6" w:rsidRPr="003748C0">
        <w:rPr>
          <w:rFonts w:ascii="Arial" w:eastAsia="Arial" w:hAnsi="Arial" w:cs="Arial"/>
          <w:b/>
          <w:bCs/>
          <w:spacing w:val="1"/>
          <w:sz w:val="24"/>
          <w:szCs w:val="24"/>
        </w:rPr>
        <w:t xml:space="preserve"> </w:t>
      </w:r>
      <w:r w:rsidRPr="003748C0">
        <w:rPr>
          <w:rFonts w:ascii="Arial" w:eastAsia="Arial" w:hAnsi="Arial" w:cs="Arial"/>
          <w:b/>
          <w:bCs/>
          <w:spacing w:val="1"/>
          <w:sz w:val="24"/>
          <w:szCs w:val="24"/>
        </w:rPr>
        <w:t xml:space="preserve">modifications suivantes afin de clarifier les types de propriété intellectuelle pouvant servir de fondement à une franchise, et de permettre le fait que le franchiseur peut être soit le licencié, soit le propriétaire de </w:t>
      </w:r>
      <w:r w:rsidR="004F7AB8">
        <w:rPr>
          <w:rFonts w:ascii="Arial" w:eastAsia="Arial" w:hAnsi="Arial" w:cs="Arial"/>
          <w:b/>
          <w:bCs/>
          <w:spacing w:val="1"/>
          <w:sz w:val="24"/>
          <w:szCs w:val="24"/>
        </w:rPr>
        <w:t>ladite</w:t>
      </w:r>
      <w:r w:rsidRPr="003748C0">
        <w:rPr>
          <w:rFonts w:ascii="Arial" w:eastAsia="Arial" w:hAnsi="Arial" w:cs="Arial"/>
          <w:b/>
          <w:bCs/>
          <w:spacing w:val="1"/>
          <w:sz w:val="24"/>
          <w:szCs w:val="24"/>
        </w:rPr>
        <w:t xml:space="preserve"> propriété intellectuelle.</w:t>
      </w:r>
    </w:p>
    <w:p w:rsidR="00047FAE" w:rsidRDefault="00047FAE">
      <w:pPr>
        <w:spacing w:line="240" w:lineRule="exact"/>
        <w:rPr>
          <w:sz w:val="24"/>
          <w:szCs w:val="24"/>
        </w:rPr>
      </w:pPr>
    </w:p>
    <w:p w:rsidR="00047FAE" w:rsidRDefault="00E22A3A" w:rsidP="003748C0">
      <w:pPr>
        <w:pStyle w:val="BodyText"/>
        <w:numPr>
          <w:ilvl w:val="1"/>
          <w:numId w:val="24"/>
        </w:numPr>
        <w:tabs>
          <w:tab w:val="left" w:pos="2259"/>
        </w:tabs>
        <w:ind w:left="2280" w:hanging="594"/>
      </w:pPr>
      <w:bookmarkStart w:id="50" w:name="(i)_Remove_the_term_&quot;service_mark&quot;"/>
      <w:bookmarkEnd w:id="50"/>
      <w:r w:rsidRPr="003748C0">
        <w:rPr>
          <w:spacing w:val="-1"/>
        </w:rPr>
        <w:t>Retrancher l’expression « marque de service »</w:t>
      </w:r>
    </w:p>
    <w:p w:rsidR="00047FAE" w:rsidRDefault="00047FAE">
      <w:pPr>
        <w:spacing w:line="240" w:lineRule="exact"/>
        <w:rPr>
          <w:sz w:val="24"/>
          <w:szCs w:val="24"/>
        </w:rPr>
      </w:pPr>
    </w:p>
    <w:p w:rsidR="00047FAE" w:rsidRDefault="003748C0">
      <w:pPr>
        <w:pStyle w:val="BodyText"/>
        <w:ind w:left="100" w:right="117"/>
        <w:jc w:val="both"/>
      </w:pPr>
      <w:r w:rsidRPr="003748C0">
        <w:t>L</w:t>
      </w:r>
      <w:r w:rsidR="00953167" w:rsidRPr="003748C0">
        <w:t>e sous-alinéa (i) de la définition fait référence au droit de se livrer à une activité commerciale, comme suit :</w:t>
      </w:r>
    </w:p>
    <w:p w:rsidR="00047FAE" w:rsidRDefault="00953167">
      <w:pPr>
        <w:pStyle w:val="BodyText"/>
        <w:spacing w:before="69"/>
        <w:ind w:left="2280" w:right="118"/>
        <w:jc w:val="both"/>
      </w:pPr>
      <w:r w:rsidRPr="003748C0">
        <w:rPr>
          <w:spacing w:val="1"/>
        </w:rPr>
        <w:lastRenderedPageBreak/>
        <w:t>« </w:t>
      </w:r>
      <w:r w:rsidRPr="003748C0">
        <w:rPr>
          <w:rFonts w:cs="Helvetica"/>
          <w:color w:val="222222"/>
        </w:rPr>
        <w:t>le franchiseur concède au franchisé le droit de vendre, de fournir, de mettre en vente, d’offrir ou de distribuer des biens ou des services qui sont essentiellement associés à la marque de commerce, à la marque de service, à l’appellation commerciale, au logo, à un symbole publicitaire ou autre symbole commercial</w:t>
      </w:r>
      <w:r w:rsidR="003748C0" w:rsidRPr="003748C0">
        <w:rPr>
          <w:rFonts w:cs="Helvetica"/>
          <w:color w:val="222222"/>
        </w:rPr>
        <w:t> »</w:t>
      </w:r>
      <w:r w:rsidRPr="003748C0">
        <w:t>[.]</w:t>
      </w:r>
    </w:p>
    <w:p w:rsidR="00047FAE" w:rsidRDefault="00047FAE">
      <w:pPr>
        <w:spacing w:before="4" w:line="240" w:lineRule="exact"/>
        <w:rPr>
          <w:sz w:val="24"/>
          <w:szCs w:val="24"/>
        </w:rPr>
      </w:pPr>
    </w:p>
    <w:p w:rsidR="00047FAE" w:rsidRDefault="00953167" w:rsidP="003748C0">
      <w:pPr>
        <w:pStyle w:val="BodyText"/>
        <w:spacing w:line="280" w:lineRule="exact"/>
        <w:ind w:right="118"/>
        <w:jc w:val="both"/>
      </w:pPr>
      <w:r w:rsidRPr="003748C0">
        <w:rPr>
          <w:spacing w:val="2"/>
        </w:rPr>
        <w:t>Cette partie de la définition s’inspire beaucoup d’une règle américaine</w:t>
      </w:r>
      <w:r w:rsidR="007309FF">
        <w:rPr>
          <w:spacing w:val="15"/>
        </w:rPr>
        <w:t xml:space="preserve"> </w:t>
      </w:r>
      <w:r w:rsidRPr="003748C0">
        <w:rPr>
          <w:spacing w:val="-1"/>
        </w:rPr>
        <w:t>sur les franchises énoncée par la F</w:t>
      </w:r>
      <w:r w:rsidRPr="003748C0">
        <w:t>e</w:t>
      </w:r>
      <w:r w:rsidRPr="003748C0">
        <w:rPr>
          <w:spacing w:val="-2"/>
        </w:rPr>
        <w:t>d</w:t>
      </w:r>
      <w:r w:rsidRPr="003748C0">
        <w:t>e</w:t>
      </w:r>
      <w:r w:rsidRPr="003748C0">
        <w:rPr>
          <w:spacing w:val="-1"/>
        </w:rPr>
        <w:t>r</w:t>
      </w:r>
      <w:r w:rsidRPr="003748C0">
        <w:t xml:space="preserve">al </w:t>
      </w:r>
      <w:r w:rsidRPr="003748C0">
        <w:rPr>
          <w:spacing w:val="2"/>
        </w:rPr>
        <w:t>T</w:t>
      </w:r>
      <w:r w:rsidRPr="003748C0">
        <w:rPr>
          <w:spacing w:val="-1"/>
        </w:rPr>
        <w:t>r</w:t>
      </w:r>
      <w:r w:rsidRPr="003748C0">
        <w:t>a</w:t>
      </w:r>
      <w:r w:rsidRPr="003748C0">
        <w:rPr>
          <w:spacing w:val="-2"/>
        </w:rPr>
        <w:t>d</w:t>
      </w:r>
      <w:r w:rsidRPr="003748C0">
        <w:t xml:space="preserve">e </w:t>
      </w:r>
      <w:r w:rsidRPr="003748C0">
        <w:rPr>
          <w:spacing w:val="-1"/>
        </w:rPr>
        <w:t>C</w:t>
      </w:r>
      <w:r w:rsidRPr="003748C0">
        <w:t>o</w:t>
      </w:r>
      <w:r w:rsidRPr="003748C0">
        <w:rPr>
          <w:spacing w:val="-1"/>
        </w:rPr>
        <w:t>m</w:t>
      </w:r>
      <w:r w:rsidRPr="003748C0">
        <w:rPr>
          <w:spacing w:val="1"/>
        </w:rPr>
        <w:t>m</w:t>
      </w:r>
      <w:r w:rsidRPr="003748C0">
        <w:rPr>
          <w:spacing w:val="-1"/>
        </w:rPr>
        <w:t>i</w:t>
      </w:r>
      <w:r w:rsidRPr="003748C0">
        <w:t>ss</w:t>
      </w:r>
      <w:r w:rsidRPr="003748C0">
        <w:rPr>
          <w:spacing w:val="-1"/>
        </w:rPr>
        <w:t>i</w:t>
      </w:r>
      <w:r w:rsidRPr="003748C0">
        <w:rPr>
          <w:spacing w:val="-2"/>
        </w:rPr>
        <w:t>o</w:t>
      </w:r>
      <w:r w:rsidRPr="003748C0">
        <w:t xml:space="preserve">n. Généralement parlant, cette règle vise à </w:t>
      </w:r>
      <w:r w:rsidR="003748C0" w:rsidRPr="003748C0">
        <w:t>englober</w:t>
      </w:r>
      <w:r w:rsidRPr="003748C0">
        <w:t xml:space="preserve"> la vente ou la d</w:t>
      </w:r>
      <w:r w:rsidRPr="003748C0">
        <w:rPr>
          <w:spacing w:val="-1"/>
        </w:rPr>
        <w:t>i</w:t>
      </w:r>
      <w:r w:rsidRPr="003748C0">
        <w:t>st</w:t>
      </w:r>
      <w:r w:rsidRPr="003748C0">
        <w:rPr>
          <w:spacing w:val="-1"/>
        </w:rPr>
        <w:t>ri</w:t>
      </w:r>
      <w:r w:rsidRPr="003748C0">
        <w:t>b</w:t>
      </w:r>
      <w:r w:rsidRPr="003748C0">
        <w:rPr>
          <w:spacing w:val="-2"/>
        </w:rPr>
        <w:t>u</w:t>
      </w:r>
      <w:r w:rsidRPr="003748C0">
        <w:t>t</w:t>
      </w:r>
      <w:r w:rsidRPr="003748C0">
        <w:rPr>
          <w:spacing w:val="-1"/>
        </w:rPr>
        <w:t>i</w:t>
      </w:r>
      <w:r w:rsidRPr="003748C0">
        <w:t>on de produits et services de marque.</w:t>
      </w:r>
      <w:r w:rsidR="007309FF">
        <w:rPr>
          <w:spacing w:val="63"/>
        </w:rPr>
        <w:t xml:space="preserve"> </w:t>
      </w:r>
      <w:r w:rsidRPr="003748C0">
        <w:t>Contrairement aux États-Unis, puisque nous n’avons pas de « marques de se</w:t>
      </w:r>
      <w:r w:rsidRPr="003748C0">
        <w:rPr>
          <w:spacing w:val="-1"/>
        </w:rPr>
        <w:t>r</w:t>
      </w:r>
      <w:r w:rsidRPr="003748C0">
        <w:rPr>
          <w:spacing w:val="-3"/>
        </w:rPr>
        <w:t>v</w:t>
      </w:r>
      <w:r w:rsidRPr="003748C0">
        <w:rPr>
          <w:spacing w:val="-1"/>
        </w:rPr>
        <w:t>i</w:t>
      </w:r>
      <w:r w:rsidRPr="003748C0">
        <w:t xml:space="preserve">ce » au </w:t>
      </w:r>
      <w:r w:rsidRPr="003748C0">
        <w:rPr>
          <w:spacing w:val="-1"/>
        </w:rPr>
        <w:t>C</w:t>
      </w:r>
      <w:r w:rsidRPr="003748C0">
        <w:t>a</w:t>
      </w:r>
      <w:r w:rsidRPr="003748C0">
        <w:rPr>
          <w:spacing w:val="-2"/>
        </w:rPr>
        <w:t>n</w:t>
      </w:r>
      <w:r w:rsidRPr="003748C0">
        <w:t>ada, le Conseil recommande de retrancher les mots « marque de service » de la définition</w:t>
      </w:r>
      <w:r w:rsidR="007309FF">
        <w:rPr>
          <w:spacing w:val="7"/>
        </w:rPr>
        <w:t>.</w:t>
      </w:r>
      <w:hyperlink w:anchor="_bookmark6" w:history="1">
        <w:r w:rsidR="003748C0" w:rsidRPr="003748C0">
          <w:rPr>
            <w:position w:val="11"/>
            <w:sz w:val="16"/>
            <w:szCs w:val="16"/>
          </w:rPr>
          <w:t>1</w:t>
        </w:r>
        <w:r w:rsidR="003748C0" w:rsidRPr="003748C0">
          <w:rPr>
            <w:spacing w:val="12"/>
            <w:position w:val="11"/>
            <w:sz w:val="16"/>
            <w:szCs w:val="16"/>
          </w:rPr>
          <w:t xml:space="preserve"> </w:t>
        </w:r>
      </w:hyperlink>
      <w:r w:rsidR="00CB1C4F" w:rsidRPr="003748C0">
        <w:t>Nous avons remarqué que toutes les autres provinces canadiennes qui ont adopté une loi sur le franchisage après celle de l’Onta</w:t>
      </w:r>
      <w:r w:rsidR="00CB1C4F" w:rsidRPr="003748C0">
        <w:rPr>
          <w:spacing w:val="-1"/>
        </w:rPr>
        <w:t>ri</w:t>
      </w:r>
      <w:r w:rsidR="00CB1C4F" w:rsidRPr="003748C0">
        <w:t>o ne font pas référence aux marques de services dans leurs définitions. Cela dit, la loi d’une seule province a toujours cette référence, et c’est celle de l’A</w:t>
      </w:r>
      <w:r w:rsidR="00CB1C4F" w:rsidRPr="003748C0">
        <w:rPr>
          <w:spacing w:val="-1"/>
        </w:rPr>
        <w:t>l</w:t>
      </w:r>
      <w:r w:rsidR="00CB1C4F" w:rsidRPr="003748C0">
        <w:rPr>
          <w:spacing w:val="-2"/>
        </w:rPr>
        <w:t>b</w:t>
      </w:r>
      <w:r w:rsidR="00CB1C4F" w:rsidRPr="003748C0">
        <w:t>e</w:t>
      </w:r>
      <w:r w:rsidR="00CB1C4F" w:rsidRPr="003748C0">
        <w:rPr>
          <w:spacing w:val="-1"/>
        </w:rPr>
        <w:t>r</w:t>
      </w:r>
      <w:r w:rsidR="00CB1C4F" w:rsidRPr="003748C0">
        <w:t xml:space="preserve">ta, </w:t>
      </w:r>
      <w:r w:rsidR="003748C0" w:rsidRPr="003748C0">
        <w:t xml:space="preserve">où </w:t>
      </w:r>
      <w:r w:rsidR="00CB1C4F" w:rsidRPr="003748C0">
        <w:t>la loi sur le franchisage est plus ancienne que celle de l’Onta</w:t>
      </w:r>
      <w:r w:rsidR="00CB1C4F" w:rsidRPr="003748C0">
        <w:rPr>
          <w:spacing w:val="-1"/>
        </w:rPr>
        <w:t>ri</w:t>
      </w:r>
      <w:r w:rsidR="00CB1C4F" w:rsidRPr="003748C0">
        <w:t>o.</w:t>
      </w:r>
    </w:p>
    <w:p w:rsidR="00047FAE" w:rsidRDefault="00047FAE">
      <w:pPr>
        <w:spacing w:before="16" w:line="220" w:lineRule="exact"/>
      </w:pPr>
    </w:p>
    <w:p w:rsidR="00047FAE" w:rsidRDefault="004E3FED" w:rsidP="003748C0">
      <w:pPr>
        <w:pStyle w:val="BodyText"/>
        <w:numPr>
          <w:ilvl w:val="1"/>
          <w:numId w:val="24"/>
        </w:numPr>
        <w:tabs>
          <w:tab w:val="left" w:pos="2279"/>
        </w:tabs>
        <w:ind w:left="2280" w:right="120" w:hanging="627"/>
      </w:pPr>
      <w:bookmarkStart w:id="51" w:name="(ii)_Allowing_for_the_fact_that_the_fran"/>
      <w:bookmarkEnd w:id="51"/>
      <w:r w:rsidRPr="003748C0">
        <w:t>Tenir compte du fait qu’il se pourrait que le franchiseur soit, lui-m</w:t>
      </w:r>
      <w:r w:rsidR="0048121F" w:rsidRPr="003748C0">
        <w:t>ême, un licencié des marques</w:t>
      </w:r>
    </w:p>
    <w:p w:rsidR="00047FAE" w:rsidRDefault="00047FAE">
      <w:pPr>
        <w:spacing w:line="240" w:lineRule="exact"/>
        <w:rPr>
          <w:sz w:val="24"/>
          <w:szCs w:val="24"/>
        </w:rPr>
      </w:pPr>
    </w:p>
    <w:p w:rsidR="00047FAE" w:rsidRDefault="0048121F">
      <w:pPr>
        <w:pStyle w:val="BodyText"/>
        <w:ind w:right="115"/>
        <w:jc w:val="both"/>
      </w:pPr>
      <w:r w:rsidRPr="00A121D0">
        <w:t xml:space="preserve">La partie ci-dessus de la définition de « franchise » implique également que la marque de commerce ou autre propriété intellectuelle en question appartient soit au franchiseur, soit </w:t>
      </w:r>
      <w:r w:rsidR="00FE63AA" w:rsidRPr="00A121D0">
        <w:t>à la personne qui a un lien avec lui</w:t>
      </w:r>
      <w:r w:rsidR="00FE63AA" w:rsidRPr="00A121D0">
        <w:rPr>
          <w:spacing w:val="2"/>
        </w:rPr>
        <w:t>.</w:t>
      </w:r>
      <w:r w:rsidRPr="00A121D0">
        <w:rPr>
          <w:spacing w:val="2"/>
        </w:rPr>
        <w:t xml:space="preserve"> </w:t>
      </w:r>
      <w:r w:rsidR="007309FF">
        <w:rPr>
          <w:spacing w:val="23"/>
        </w:rPr>
        <w:t xml:space="preserve"> </w:t>
      </w:r>
      <w:r w:rsidR="00FE63AA" w:rsidRPr="00A121D0">
        <w:rPr>
          <w:spacing w:val="2"/>
        </w:rPr>
        <w:t xml:space="preserve">Cependant, cela n’est pas toujours vrai, comme dans le cas du franchiseur d’une franchise maîtresse </w:t>
      </w:r>
      <w:r w:rsidR="00615AD5" w:rsidRPr="00A121D0">
        <w:rPr>
          <w:spacing w:val="2"/>
        </w:rPr>
        <w:t>qui octroie une sous-licence de propriété intellectuelle aux (sous</w:t>
      </w:r>
      <w:r w:rsidR="00615AD5" w:rsidRPr="00A121D0">
        <w:rPr>
          <w:spacing w:val="2"/>
        </w:rPr>
        <w:noBreakHyphen/>
        <w:t>)franchisés de l’unité.</w:t>
      </w:r>
      <w:r w:rsidR="007309FF">
        <w:rPr>
          <w:spacing w:val="46"/>
        </w:rPr>
        <w:t xml:space="preserve"> </w:t>
      </w:r>
      <w:r w:rsidR="00615AD5" w:rsidRPr="00E32823">
        <w:t>Afin d</w:t>
      </w:r>
      <w:r w:rsidR="00A121D0" w:rsidRPr="00E32823">
        <w:t>’englober</w:t>
      </w:r>
      <w:r w:rsidR="00615AD5" w:rsidRPr="00E32823">
        <w:t xml:space="preserve"> de telles situations, l’ABO a recommandé (</w:t>
      </w:r>
      <w:r w:rsidR="00A121D0" w:rsidRPr="00E32823">
        <w:t xml:space="preserve">ce dont le </w:t>
      </w:r>
      <w:r w:rsidR="00615AD5" w:rsidRPr="00E32823">
        <w:t>Conseil convient) que le sous-alinéa (i) soit modifié de nouveau pour indiquer que la propriété intellectu</w:t>
      </w:r>
      <w:r w:rsidR="00E32823" w:rsidRPr="00E32823">
        <w:t>ell</w:t>
      </w:r>
      <w:r w:rsidR="00615AD5" w:rsidRPr="00E32823">
        <w:t>e pourrait appartenir au franchiseur ou pourrait lui avoir été concédé</w:t>
      </w:r>
      <w:r w:rsidR="00E32823" w:rsidRPr="00E32823">
        <w:t>e</w:t>
      </w:r>
      <w:r w:rsidR="00615AD5" w:rsidRPr="00E32823">
        <w:t xml:space="preserve"> au moyen d’une licence. </w:t>
      </w:r>
      <w:r w:rsidR="007309FF">
        <w:rPr>
          <w:spacing w:val="65"/>
        </w:rPr>
        <w:t xml:space="preserve"> </w:t>
      </w:r>
      <w:r w:rsidR="00615AD5" w:rsidRPr="00E32823">
        <w:rPr>
          <w:spacing w:val="-1"/>
        </w:rPr>
        <w:t>Cette modification se ferait comme suit :</w:t>
      </w:r>
    </w:p>
    <w:p w:rsidR="00047FAE" w:rsidRDefault="00615AD5">
      <w:pPr>
        <w:pStyle w:val="BodyText"/>
        <w:ind w:left="2280" w:right="116"/>
        <w:jc w:val="both"/>
      </w:pPr>
      <w:r w:rsidRPr="00E32823">
        <w:rPr>
          <w:spacing w:val="1"/>
        </w:rPr>
        <w:t xml:space="preserve">« le franchiseur concède au franchisé le droit de vendre, de fournir, de mettre en vente, d’offrir ou de distribuer des biens ou des services qui sont essentiellement associés </w:t>
      </w:r>
      <w:r w:rsidR="00C50290" w:rsidRPr="00E32823">
        <w:rPr>
          <w:spacing w:val="1"/>
        </w:rPr>
        <w:t>à un symbole, qui appartient au franchiseur ou à la personne qui a un lien avec lui, ou qui lui a été conféré au moyen d’une licence</w:t>
      </w:r>
      <w:r w:rsidR="00E32823" w:rsidRPr="00E32823">
        <w:rPr>
          <w:spacing w:val="1"/>
        </w:rPr>
        <w:t> »</w:t>
      </w:r>
      <w:r w:rsidR="00C50290" w:rsidRPr="00E32823">
        <w:rPr>
          <w:spacing w:val="1"/>
        </w:rPr>
        <w:t>[.]</w:t>
      </w:r>
    </w:p>
    <w:p w:rsidR="00047FAE" w:rsidRDefault="00047FAE">
      <w:pPr>
        <w:spacing w:line="240" w:lineRule="exact"/>
        <w:rPr>
          <w:sz w:val="24"/>
          <w:szCs w:val="24"/>
        </w:rPr>
      </w:pPr>
    </w:p>
    <w:p w:rsidR="00047FAE" w:rsidRDefault="00C50290" w:rsidP="00E32823">
      <w:pPr>
        <w:pStyle w:val="BodyText"/>
        <w:numPr>
          <w:ilvl w:val="0"/>
          <w:numId w:val="24"/>
        </w:numPr>
        <w:tabs>
          <w:tab w:val="left" w:pos="1559"/>
        </w:tabs>
        <w:ind w:left="1560" w:right="115"/>
      </w:pPr>
      <w:bookmarkStart w:id="52" w:name="(b)_Paragraph_1(1)(a)(ii)_–_Definition_o"/>
      <w:bookmarkEnd w:id="52"/>
      <w:r w:rsidRPr="00E32823">
        <w:t>Alinéa 1 (1)</w:t>
      </w:r>
      <w:r w:rsidR="00E32823" w:rsidRPr="00E32823">
        <w:t xml:space="preserve"> </w:t>
      </w:r>
      <w:r w:rsidRPr="00E32823">
        <w:t>a)</w:t>
      </w:r>
      <w:r w:rsidR="00E32823" w:rsidRPr="00E32823">
        <w:t xml:space="preserve"> </w:t>
      </w:r>
      <w:r w:rsidRPr="00E32823">
        <w:t xml:space="preserve">(ii) – Définition de « franchise » </w:t>
      </w:r>
      <w:r w:rsidR="0005739D" w:rsidRPr="00E32823">
        <w:t>–</w:t>
      </w:r>
      <w:r w:rsidRPr="00E32823">
        <w:t xml:space="preserve"> </w:t>
      </w:r>
      <w:r w:rsidR="00E32823" w:rsidRPr="00E32823">
        <w:t>C</w:t>
      </w:r>
      <w:r w:rsidR="0005739D" w:rsidRPr="00E32823">
        <w:t>ontrôle important ou aide importante</w:t>
      </w:r>
    </w:p>
    <w:p w:rsidR="00047FAE" w:rsidRDefault="00047FAE">
      <w:pPr>
        <w:spacing w:line="240" w:lineRule="exact"/>
        <w:rPr>
          <w:sz w:val="24"/>
          <w:szCs w:val="24"/>
        </w:rPr>
      </w:pPr>
    </w:p>
    <w:p w:rsidR="00047FAE" w:rsidRDefault="0005739D">
      <w:pPr>
        <w:ind w:left="120" w:right="116"/>
        <w:jc w:val="both"/>
        <w:rPr>
          <w:rFonts w:ascii="Arial" w:eastAsia="Arial" w:hAnsi="Arial" w:cs="Arial"/>
          <w:sz w:val="24"/>
          <w:szCs w:val="24"/>
        </w:rPr>
      </w:pPr>
      <w:r w:rsidRPr="00E32823">
        <w:rPr>
          <w:rFonts w:ascii="Arial" w:eastAsia="Arial" w:hAnsi="Arial" w:cs="Arial"/>
          <w:b/>
          <w:bCs/>
          <w:spacing w:val="1"/>
          <w:sz w:val="24"/>
          <w:szCs w:val="24"/>
        </w:rPr>
        <w:t>Nous recommandons de modifier cette disposition pour assurer que les franchiseurs qui ont le droit d’exercer un contrôle important sur le mode d’exploitation du franchisé ou de lui apporter une aide importante à cet égard ne sont pas exemptés de la LAW pour le seul motif d’avoir omis d’exercer ce droit.</w:t>
      </w:r>
    </w:p>
    <w:p w:rsidR="00047FAE" w:rsidRDefault="00CC6F04">
      <w:pPr>
        <w:pStyle w:val="BodyText"/>
        <w:ind w:right="115"/>
        <w:jc w:val="both"/>
      </w:pPr>
      <w:r w:rsidRPr="00E32823">
        <w:rPr>
          <w:spacing w:val="2"/>
        </w:rPr>
        <w:t>Selon c</w:t>
      </w:r>
      <w:r w:rsidR="0005739D" w:rsidRPr="00E32823">
        <w:rPr>
          <w:spacing w:val="2"/>
        </w:rPr>
        <w:t>et alinéa</w:t>
      </w:r>
      <w:r w:rsidRPr="00E32823">
        <w:rPr>
          <w:spacing w:val="2"/>
        </w:rPr>
        <w:t>, pour que le « franchiseur » (ou la personne qui a un lien avec lui) soit considéré comme une « franchise », il doit exercer un contrôle important sur le mode d’exploitation du franchisé ou lui apporter une aide importante à cet égard, notamment en ce qui a trait à la conception et à l’ameublement du bâtiment, aux emplacements, à l’organisation de l'activité commerciale, aux techniques de commercialisation</w:t>
      </w:r>
      <w:r w:rsidR="00E32823" w:rsidRPr="00E32823">
        <w:rPr>
          <w:spacing w:val="2"/>
        </w:rPr>
        <w:t xml:space="preserve"> </w:t>
      </w:r>
      <w:r w:rsidRPr="00E32823">
        <w:rPr>
          <w:spacing w:val="2"/>
        </w:rPr>
        <w:t>ou à la formation.</w:t>
      </w:r>
      <w:r w:rsidR="007309FF">
        <w:rPr>
          <w:spacing w:val="49"/>
        </w:rPr>
        <w:t xml:space="preserve"> </w:t>
      </w:r>
      <w:r w:rsidRPr="00005A1B">
        <w:t xml:space="preserve">Nous recommandons l’apport de modifications à cet alinéa pour </w:t>
      </w:r>
      <w:r w:rsidR="00005A1B" w:rsidRPr="00005A1B">
        <w:t xml:space="preserve">pouvoir </w:t>
      </w:r>
      <w:r w:rsidRPr="00005A1B">
        <w:t xml:space="preserve">expliquer que le contrôle réel ou l’aide </w:t>
      </w:r>
      <w:r w:rsidR="00DF064B" w:rsidRPr="00005A1B">
        <w:t xml:space="preserve">apportée par le </w:t>
      </w:r>
    </w:p>
    <w:p w:rsidR="00047FAE" w:rsidRDefault="00705D9A">
      <w:pPr>
        <w:ind w:left="120" w:right="142"/>
        <w:jc w:val="both"/>
        <w:rPr>
          <w:rFonts w:ascii="Times New Roman" w:eastAsia="Times New Roman" w:hAnsi="Times New Roman" w:cs="Times New Roman"/>
          <w:sz w:val="18"/>
          <w:szCs w:val="18"/>
        </w:rPr>
      </w:pPr>
      <w:r w:rsidRPr="00005A1B">
        <w:rPr>
          <w:rFonts w:ascii="Times New Roman" w:eastAsia="Times New Roman" w:hAnsi="Times New Roman" w:cs="Times New Roman"/>
          <w:position w:val="8"/>
          <w:sz w:val="12"/>
          <w:szCs w:val="12"/>
        </w:rPr>
        <w:t>1</w:t>
      </w:r>
      <w:r w:rsidRPr="00005A1B">
        <w:rPr>
          <w:rFonts w:ascii="Times New Roman" w:eastAsia="Times New Roman" w:hAnsi="Times New Roman" w:cs="Times New Roman"/>
          <w:spacing w:val="15"/>
          <w:position w:val="8"/>
          <w:sz w:val="12"/>
          <w:szCs w:val="12"/>
        </w:rPr>
        <w:t xml:space="preserve"> </w:t>
      </w:r>
      <w:r w:rsidRPr="00005A1B">
        <w:rPr>
          <w:rFonts w:ascii="Times New Roman" w:eastAsia="Times New Roman" w:hAnsi="Times New Roman" w:cs="Times New Roman"/>
          <w:spacing w:val="-2"/>
          <w:sz w:val="18"/>
          <w:szCs w:val="18"/>
        </w:rPr>
        <w:t xml:space="preserve">Il y aurait des modifications </w:t>
      </w:r>
      <w:r w:rsidRPr="00005A1B">
        <w:rPr>
          <w:rFonts w:ascii="Times New Roman" w:eastAsia="Times New Roman" w:hAnsi="Times New Roman" w:cs="Times New Roman"/>
          <w:spacing w:val="-1"/>
          <w:sz w:val="18"/>
          <w:szCs w:val="18"/>
        </w:rPr>
        <w:t>c</w:t>
      </w:r>
      <w:r w:rsidRPr="00005A1B">
        <w:rPr>
          <w:rFonts w:ascii="Times New Roman" w:eastAsia="Times New Roman" w:hAnsi="Times New Roman" w:cs="Times New Roman"/>
          <w:spacing w:val="1"/>
          <w:sz w:val="18"/>
          <w:szCs w:val="18"/>
        </w:rPr>
        <w:t>o</w:t>
      </w:r>
      <w:r w:rsidRPr="00005A1B">
        <w:rPr>
          <w:rFonts w:ascii="Times New Roman" w:eastAsia="Times New Roman" w:hAnsi="Times New Roman" w:cs="Times New Roman"/>
          <w:sz w:val="18"/>
          <w:szCs w:val="18"/>
        </w:rPr>
        <w:t>rr</w:t>
      </w:r>
      <w:r w:rsidRPr="00005A1B">
        <w:rPr>
          <w:rFonts w:ascii="Times New Roman" w:eastAsia="Times New Roman" w:hAnsi="Times New Roman" w:cs="Times New Roman"/>
          <w:spacing w:val="-1"/>
          <w:sz w:val="18"/>
          <w:szCs w:val="18"/>
        </w:rPr>
        <w:t>es</w:t>
      </w:r>
      <w:r w:rsidRPr="00005A1B">
        <w:rPr>
          <w:rFonts w:ascii="Times New Roman" w:eastAsia="Times New Roman" w:hAnsi="Times New Roman" w:cs="Times New Roman"/>
          <w:spacing w:val="-2"/>
          <w:sz w:val="18"/>
          <w:szCs w:val="18"/>
        </w:rPr>
        <w:t>p</w:t>
      </w:r>
      <w:r w:rsidRPr="00005A1B">
        <w:rPr>
          <w:rFonts w:ascii="Times New Roman" w:eastAsia="Times New Roman" w:hAnsi="Times New Roman" w:cs="Times New Roman"/>
          <w:spacing w:val="1"/>
          <w:sz w:val="18"/>
          <w:szCs w:val="18"/>
        </w:rPr>
        <w:t>o</w:t>
      </w:r>
      <w:r w:rsidRPr="00005A1B">
        <w:rPr>
          <w:rFonts w:ascii="Times New Roman" w:eastAsia="Times New Roman" w:hAnsi="Times New Roman" w:cs="Times New Roman"/>
          <w:spacing w:val="-2"/>
          <w:sz w:val="18"/>
          <w:szCs w:val="18"/>
        </w:rPr>
        <w:t>n</w:t>
      </w:r>
      <w:r w:rsidRPr="00005A1B">
        <w:rPr>
          <w:rFonts w:ascii="Times New Roman" w:eastAsia="Times New Roman" w:hAnsi="Times New Roman" w:cs="Times New Roman"/>
          <w:spacing w:val="1"/>
          <w:sz w:val="18"/>
          <w:szCs w:val="18"/>
        </w:rPr>
        <w:t>dantes à l’</w:t>
      </w:r>
      <w:r w:rsidR="00E47CE3" w:rsidRPr="00005A1B">
        <w:rPr>
          <w:rFonts w:ascii="Times New Roman" w:eastAsia="Times New Roman" w:hAnsi="Times New Roman" w:cs="Times New Roman"/>
          <w:spacing w:val="1"/>
          <w:sz w:val="18"/>
          <w:szCs w:val="18"/>
        </w:rPr>
        <w:t>article</w:t>
      </w:r>
      <w:r w:rsidR="00660C79">
        <w:rPr>
          <w:rFonts w:ascii="Times New Roman" w:eastAsia="Times New Roman" w:hAnsi="Times New Roman" w:cs="Times New Roman"/>
          <w:spacing w:val="1"/>
          <w:sz w:val="18"/>
          <w:szCs w:val="18"/>
        </w:rPr>
        <w:t xml:space="preserve"> </w:t>
      </w:r>
      <w:r w:rsidRPr="00005A1B">
        <w:rPr>
          <w:rFonts w:ascii="Times New Roman" w:eastAsia="Times New Roman" w:hAnsi="Times New Roman" w:cs="Times New Roman"/>
          <w:spacing w:val="1"/>
          <w:sz w:val="18"/>
          <w:szCs w:val="18"/>
        </w:rPr>
        <w:t xml:space="preserve">1 </w:t>
      </w:r>
      <w:r w:rsidRPr="00005A1B">
        <w:rPr>
          <w:rFonts w:ascii="Times New Roman" w:eastAsia="Times New Roman" w:hAnsi="Times New Roman" w:cs="Times New Roman"/>
          <w:sz w:val="18"/>
          <w:szCs w:val="18"/>
        </w:rPr>
        <w:t>(</w:t>
      </w:r>
      <w:r w:rsidRPr="00005A1B">
        <w:rPr>
          <w:rFonts w:ascii="Times New Roman" w:eastAsia="Times New Roman" w:hAnsi="Times New Roman" w:cs="Times New Roman"/>
          <w:spacing w:val="1"/>
          <w:sz w:val="18"/>
          <w:szCs w:val="18"/>
        </w:rPr>
        <w:t>1</w:t>
      </w:r>
      <w:r w:rsidRPr="00005A1B">
        <w:rPr>
          <w:rFonts w:ascii="Times New Roman" w:eastAsia="Times New Roman" w:hAnsi="Times New Roman" w:cs="Times New Roman"/>
          <w:sz w:val="18"/>
          <w:szCs w:val="18"/>
        </w:rPr>
        <w:t>)</w:t>
      </w:r>
      <w:r w:rsidR="00005A1B" w:rsidRPr="00005A1B">
        <w:rPr>
          <w:rFonts w:ascii="Times New Roman" w:eastAsia="Times New Roman" w:hAnsi="Times New Roman" w:cs="Times New Roman"/>
          <w:sz w:val="18"/>
          <w:szCs w:val="18"/>
        </w:rPr>
        <w:t xml:space="preserve"> </w:t>
      </w:r>
      <w:r w:rsidRPr="00005A1B">
        <w:rPr>
          <w:rFonts w:ascii="Times New Roman" w:eastAsia="Times New Roman" w:hAnsi="Times New Roman" w:cs="Times New Roman"/>
          <w:spacing w:val="1"/>
          <w:sz w:val="18"/>
          <w:szCs w:val="18"/>
        </w:rPr>
        <w:t>b</w:t>
      </w:r>
      <w:r w:rsidRPr="00005A1B">
        <w:rPr>
          <w:rFonts w:ascii="Times New Roman" w:eastAsia="Times New Roman" w:hAnsi="Times New Roman" w:cs="Times New Roman"/>
          <w:sz w:val="18"/>
          <w:szCs w:val="18"/>
        </w:rPr>
        <w:t>)</w:t>
      </w:r>
      <w:r w:rsidR="00005A1B" w:rsidRPr="00005A1B">
        <w:rPr>
          <w:rFonts w:ascii="Times New Roman" w:eastAsia="Times New Roman" w:hAnsi="Times New Roman" w:cs="Times New Roman"/>
          <w:sz w:val="18"/>
          <w:szCs w:val="18"/>
        </w:rPr>
        <w:t xml:space="preserve"> </w:t>
      </w:r>
      <w:r w:rsidRPr="00005A1B">
        <w:rPr>
          <w:rFonts w:ascii="Times New Roman" w:eastAsia="Times New Roman" w:hAnsi="Times New Roman" w:cs="Times New Roman"/>
          <w:sz w:val="18"/>
          <w:szCs w:val="18"/>
        </w:rPr>
        <w:t>(i), à la défi</w:t>
      </w:r>
      <w:r w:rsidRPr="00005A1B">
        <w:rPr>
          <w:rFonts w:ascii="Times New Roman" w:eastAsia="Times New Roman" w:hAnsi="Times New Roman" w:cs="Times New Roman"/>
          <w:spacing w:val="1"/>
          <w:sz w:val="18"/>
          <w:szCs w:val="18"/>
        </w:rPr>
        <w:t>n</w:t>
      </w:r>
      <w:r w:rsidRPr="00005A1B">
        <w:rPr>
          <w:rFonts w:ascii="Times New Roman" w:eastAsia="Times New Roman" w:hAnsi="Times New Roman" w:cs="Times New Roman"/>
          <w:sz w:val="18"/>
          <w:szCs w:val="18"/>
        </w:rPr>
        <w:t>iti</w:t>
      </w:r>
      <w:r w:rsidRPr="00005A1B">
        <w:rPr>
          <w:rFonts w:ascii="Times New Roman" w:eastAsia="Times New Roman" w:hAnsi="Times New Roman" w:cs="Times New Roman"/>
          <w:spacing w:val="1"/>
          <w:sz w:val="18"/>
          <w:szCs w:val="18"/>
        </w:rPr>
        <w:t>o</w:t>
      </w:r>
      <w:r w:rsidRPr="00005A1B">
        <w:rPr>
          <w:rFonts w:ascii="Times New Roman" w:eastAsia="Times New Roman" w:hAnsi="Times New Roman" w:cs="Times New Roman"/>
          <w:sz w:val="18"/>
          <w:szCs w:val="18"/>
        </w:rPr>
        <w:t>n</w:t>
      </w:r>
      <w:r w:rsidRPr="00005A1B">
        <w:rPr>
          <w:rFonts w:ascii="Times New Roman" w:eastAsia="Times New Roman" w:hAnsi="Times New Roman" w:cs="Times New Roman"/>
          <w:spacing w:val="-1"/>
          <w:sz w:val="18"/>
          <w:szCs w:val="18"/>
        </w:rPr>
        <w:t xml:space="preserve"> du « système de f</w:t>
      </w:r>
      <w:r w:rsidRPr="00005A1B">
        <w:rPr>
          <w:rFonts w:ascii="Times New Roman" w:eastAsia="Times New Roman" w:hAnsi="Times New Roman" w:cs="Times New Roman"/>
          <w:spacing w:val="2"/>
          <w:sz w:val="18"/>
          <w:szCs w:val="18"/>
        </w:rPr>
        <w:t>r</w:t>
      </w:r>
      <w:r w:rsidRPr="00005A1B">
        <w:rPr>
          <w:rFonts w:ascii="Times New Roman" w:eastAsia="Times New Roman" w:hAnsi="Times New Roman" w:cs="Times New Roman"/>
          <w:spacing w:val="-1"/>
          <w:sz w:val="18"/>
          <w:szCs w:val="18"/>
        </w:rPr>
        <w:t>a</w:t>
      </w:r>
      <w:r w:rsidRPr="00005A1B">
        <w:rPr>
          <w:rFonts w:ascii="Times New Roman" w:eastAsia="Times New Roman" w:hAnsi="Times New Roman" w:cs="Times New Roman"/>
          <w:spacing w:val="1"/>
          <w:sz w:val="18"/>
          <w:szCs w:val="18"/>
        </w:rPr>
        <w:t>n</w:t>
      </w:r>
      <w:r w:rsidRPr="00005A1B">
        <w:rPr>
          <w:rFonts w:ascii="Times New Roman" w:eastAsia="Times New Roman" w:hAnsi="Times New Roman" w:cs="Times New Roman"/>
          <w:spacing w:val="-1"/>
          <w:sz w:val="18"/>
          <w:szCs w:val="18"/>
        </w:rPr>
        <w:t>c</w:t>
      </w:r>
      <w:r w:rsidRPr="00005A1B">
        <w:rPr>
          <w:rFonts w:ascii="Times New Roman" w:eastAsia="Times New Roman" w:hAnsi="Times New Roman" w:cs="Times New Roman"/>
          <w:spacing w:val="1"/>
          <w:sz w:val="18"/>
          <w:szCs w:val="18"/>
        </w:rPr>
        <w:t>h</w:t>
      </w:r>
      <w:r w:rsidRPr="00005A1B">
        <w:rPr>
          <w:rFonts w:ascii="Times New Roman" w:eastAsia="Times New Roman" w:hAnsi="Times New Roman" w:cs="Times New Roman"/>
          <w:sz w:val="18"/>
          <w:szCs w:val="18"/>
        </w:rPr>
        <w:t>i</w:t>
      </w:r>
      <w:r w:rsidRPr="00005A1B">
        <w:rPr>
          <w:rFonts w:ascii="Times New Roman" w:eastAsia="Times New Roman" w:hAnsi="Times New Roman" w:cs="Times New Roman"/>
          <w:spacing w:val="-1"/>
          <w:sz w:val="18"/>
          <w:szCs w:val="18"/>
        </w:rPr>
        <w:t>s</w:t>
      </w:r>
      <w:r w:rsidRPr="00005A1B">
        <w:rPr>
          <w:rFonts w:ascii="Times New Roman" w:eastAsia="Times New Roman" w:hAnsi="Times New Roman" w:cs="Times New Roman"/>
          <w:sz w:val="18"/>
          <w:szCs w:val="18"/>
        </w:rPr>
        <w:t>e »,</w:t>
      </w:r>
      <w:r w:rsidRPr="00005A1B">
        <w:rPr>
          <w:rFonts w:ascii="Times New Roman" w:eastAsia="Times New Roman" w:hAnsi="Times New Roman" w:cs="Times New Roman"/>
          <w:spacing w:val="1"/>
          <w:sz w:val="18"/>
          <w:szCs w:val="18"/>
        </w:rPr>
        <w:t xml:space="preserve"> à l’</w:t>
      </w:r>
      <w:r w:rsidR="00E47CE3" w:rsidRPr="00005A1B">
        <w:rPr>
          <w:rFonts w:ascii="Times New Roman" w:eastAsia="Times New Roman" w:hAnsi="Times New Roman" w:cs="Times New Roman"/>
          <w:spacing w:val="1"/>
          <w:sz w:val="18"/>
          <w:szCs w:val="18"/>
        </w:rPr>
        <w:t>article</w:t>
      </w:r>
      <w:r w:rsidRPr="00005A1B">
        <w:rPr>
          <w:rFonts w:ascii="Times New Roman" w:eastAsia="Times New Roman" w:hAnsi="Times New Roman" w:cs="Times New Roman"/>
          <w:spacing w:val="1"/>
          <w:sz w:val="18"/>
          <w:szCs w:val="18"/>
        </w:rPr>
        <w:t> 2 </w:t>
      </w:r>
      <w:r w:rsidRPr="00005A1B">
        <w:rPr>
          <w:rFonts w:ascii="Times New Roman" w:eastAsia="Times New Roman" w:hAnsi="Times New Roman" w:cs="Times New Roman"/>
          <w:sz w:val="18"/>
          <w:szCs w:val="18"/>
        </w:rPr>
        <w:t>(</w:t>
      </w:r>
      <w:r w:rsidRPr="00005A1B">
        <w:rPr>
          <w:rFonts w:ascii="Times New Roman" w:eastAsia="Times New Roman" w:hAnsi="Times New Roman" w:cs="Times New Roman"/>
          <w:spacing w:val="1"/>
          <w:sz w:val="18"/>
          <w:szCs w:val="18"/>
        </w:rPr>
        <w:t>3</w:t>
      </w:r>
      <w:r w:rsidRPr="00005A1B">
        <w:rPr>
          <w:rFonts w:ascii="Times New Roman" w:eastAsia="Times New Roman" w:hAnsi="Times New Roman" w:cs="Times New Roman"/>
          <w:sz w:val="18"/>
          <w:szCs w:val="18"/>
        </w:rPr>
        <w:t>)</w:t>
      </w:r>
      <w:r w:rsidR="00005A1B" w:rsidRPr="00005A1B">
        <w:rPr>
          <w:rFonts w:ascii="Times New Roman" w:eastAsia="Times New Roman" w:hAnsi="Times New Roman" w:cs="Times New Roman"/>
          <w:sz w:val="18"/>
          <w:szCs w:val="18"/>
        </w:rPr>
        <w:t xml:space="preserve"> </w:t>
      </w:r>
      <w:r w:rsidRPr="00005A1B">
        <w:rPr>
          <w:rFonts w:ascii="Times New Roman" w:eastAsia="Times New Roman" w:hAnsi="Times New Roman" w:cs="Times New Roman"/>
          <w:spacing w:val="-3"/>
          <w:sz w:val="18"/>
          <w:szCs w:val="18"/>
        </w:rPr>
        <w:t>(</w:t>
      </w:r>
      <w:r w:rsidRPr="00005A1B">
        <w:rPr>
          <w:rFonts w:ascii="Times New Roman" w:eastAsia="Times New Roman" w:hAnsi="Times New Roman" w:cs="Times New Roman"/>
          <w:spacing w:val="1"/>
          <w:sz w:val="18"/>
          <w:szCs w:val="18"/>
        </w:rPr>
        <w:t>5</w:t>
      </w:r>
      <w:r w:rsidRPr="00005A1B">
        <w:rPr>
          <w:rFonts w:ascii="Times New Roman" w:eastAsia="Times New Roman" w:hAnsi="Times New Roman" w:cs="Times New Roman"/>
          <w:sz w:val="18"/>
          <w:szCs w:val="18"/>
        </w:rPr>
        <w:t>) et ailleurs dans la loi.</w:t>
      </w:r>
    </w:p>
    <w:p w:rsidR="00047FAE" w:rsidRDefault="00047FAE">
      <w:pPr>
        <w:jc w:val="both"/>
        <w:rPr>
          <w:rFonts w:ascii="Times New Roman" w:eastAsia="Times New Roman" w:hAnsi="Times New Roman" w:cs="Times New Roman"/>
          <w:sz w:val="18"/>
          <w:szCs w:val="18"/>
        </w:rPr>
        <w:sectPr w:rsidR="00047FAE">
          <w:pgSz w:w="12240" w:h="15840"/>
          <w:pgMar w:top="980" w:right="1320" w:bottom="920" w:left="1320" w:header="743" w:footer="731" w:gutter="0"/>
          <w:cols w:space="720"/>
        </w:sectPr>
      </w:pPr>
    </w:p>
    <w:p w:rsidR="00047FAE" w:rsidRDefault="00047FAE">
      <w:pPr>
        <w:spacing w:before="3" w:line="180" w:lineRule="exact"/>
        <w:rPr>
          <w:sz w:val="18"/>
          <w:szCs w:val="18"/>
        </w:rPr>
      </w:pPr>
    </w:p>
    <w:p w:rsidR="00047FAE" w:rsidRDefault="00047FAE">
      <w:pPr>
        <w:spacing w:line="200" w:lineRule="exact"/>
        <w:rPr>
          <w:sz w:val="20"/>
          <w:szCs w:val="20"/>
        </w:rPr>
      </w:pPr>
    </w:p>
    <w:p w:rsidR="00047FAE" w:rsidRDefault="00DF064B">
      <w:pPr>
        <w:pStyle w:val="BodyText"/>
        <w:spacing w:before="69"/>
        <w:ind w:left="100" w:right="117"/>
        <w:jc w:val="both"/>
      </w:pPr>
      <w:r w:rsidRPr="00005A1B">
        <w:t xml:space="preserve">franchiseur à </w:t>
      </w:r>
      <w:r w:rsidR="00185467" w:rsidRPr="00005A1B">
        <w:t xml:space="preserve">l’égard du mode d’exploitation du franchisé ne devrait pas être exigé </w:t>
      </w:r>
      <w:r w:rsidR="0058669D" w:rsidRPr="00005A1B">
        <w:t>pour concrétiser une relation dans la portée de la LAW, pourvu que le franchiseur ait le droit d’exercer un tel contrôle ou d’apporter de l’aide.</w:t>
      </w:r>
      <w:r w:rsidR="007309FF">
        <w:rPr>
          <w:spacing w:val="37"/>
        </w:rPr>
        <w:t xml:space="preserve"> </w:t>
      </w:r>
      <w:r w:rsidR="0058669D" w:rsidRPr="00005A1B">
        <w:rPr>
          <w:spacing w:val="2"/>
        </w:rPr>
        <w:t>Cette modification se ferait comme suit :</w:t>
      </w:r>
    </w:p>
    <w:p w:rsidR="00047FAE" w:rsidRDefault="00047FAE">
      <w:pPr>
        <w:spacing w:line="240" w:lineRule="exact"/>
        <w:rPr>
          <w:sz w:val="24"/>
          <w:szCs w:val="24"/>
        </w:rPr>
      </w:pPr>
    </w:p>
    <w:p w:rsidR="00047FAE" w:rsidRDefault="003319D0">
      <w:pPr>
        <w:pStyle w:val="BodyText"/>
        <w:ind w:left="2260" w:right="117"/>
        <w:jc w:val="both"/>
      </w:pPr>
      <w:r w:rsidRPr="00FD7282">
        <w:rPr>
          <w:spacing w:val="1"/>
        </w:rPr>
        <w:t>« le franchiseur ou la personne qui a un lien avec lui a le droit d’exercer un contrôle important, ou exerce un tel contrôle important, ou a le droit d'apporter de l’aide imp</w:t>
      </w:r>
      <w:r w:rsidR="00E04CD9" w:rsidRPr="00FD7282">
        <w:rPr>
          <w:spacing w:val="1"/>
        </w:rPr>
        <w:t xml:space="preserve">ortante, ou apporte une telle aide importante à l’égard du mode d’exploitation du franchisé, notamment en ce qui a trait </w:t>
      </w:r>
      <w:r w:rsidR="00E04CD9" w:rsidRPr="00FD7282">
        <w:rPr>
          <w:spacing w:val="2"/>
        </w:rPr>
        <w:t>à la conception et à l’ameublement du bâtiment, aux emplacements, à l’organisation de l'activité commerciale, aux techniques de commercialisation ou à la formation</w:t>
      </w:r>
      <w:r w:rsidR="00005A1B" w:rsidRPr="00FD7282">
        <w:rPr>
          <w:spacing w:val="2"/>
        </w:rPr>
        <w:t> »</w:t>
      </w:r>
      <w:r w:rsidRPr="00FD7282">
        <w:t>[.]</w:t>
      </w:r>
    </w:p>
    <w:p w:rsidR="00047FAE" w:rsidRDefault="00047FAE">
      <w:pPr>
        <w:spacing w:line="240" w:lineRule="exact"/>
        <w:rPr>
          <w:sz w:val="24"/>
          <w:szCs w:val="24"/>
        </w:rPr>
      </w:pPr>
    </w:p>
    <w:p w:rsidR="00047FAE" w:rsidRDefault="00FD7282" w:rsidP="00FD7282">
      <w:pPr>
        <w:pStyle w:val="BodyText"/>
        <w:numPr>
          <w:ilvl w:val="0"/>
          <w:numId w:val="24"/>
        </w:numPr>
        <w:tabs>
          <w:tab w:val="left" w:pos="1539"/>
        </w:tabs>
        <w:ind w:left="1540" w:right="120"/>
      </w:pPr>
      <w:bookmarkStart w:id="53" w:name="(c)_Paragraph_1(1)(a)(i)_–_Definition_of"/>
      <w:bookmarkEnd w:id="53"/>
      <w:r w:rsidRPr="00FD7282">
        <w:t xml:space="preserve">Alinéa 1 (1) </w:t>
      </w:r>
      <w:r w:rsidR="00E04CD9" w:rsidRPr="00FD7282">
        <w:t>a)</w:t>
      </w:r>
      <w:r w:rsidRPr="00FD7282">
        <w:t xml:space="preserve"> </w:t>
      </w:r>
      <w:r w:rsidR="00E04CD9" w:rsidRPr="00FD7282">
        <w:t>(i) – Définition de « contrat de franchis</w:t>
      </w:r>
      <w:r w:rsidR="00377A3A" w:rsidRPr="00FD7282">
        <w:t>ag</w:t>
      </w:r>
      <w:r w:rsidR="00E04CD9" w:rsidRPr="00FD7282">
        <w:t>e » –</w:t>
      </w:r>
      <w:r w:rsidR="008C611B" w:rsidRPr="00FD7282">
        <w:t xml:space="preserve"> Ententes</w:t>
      </w:r>
      <w:r w:rsidR="00E04CD9" w:rsidRPr="00FD7282">
        <w:t xml:space="preserve"> connexes</w:t>
      </w:r>
    </w:p>
    <w:p w:rsidR="00047FAE" w:rsidRDefault="00047FAE">
      <w:pPr>
        <w:spacing w:line="240" w:lineRule="exact"/>
        <w:rPr>
          <w:sz w:val="24"/>
          <w:szCs w:val="24"/>
        </w:rPr>
      </w:pPr>
    </w:p>
    <w:p w:rsidR="00047FAE" w:rsidRDefault="008C611B">
      <w:pPr>
        <w:ind w:left="100" w:right="116"/>
        <w:jc w:val="both"/>
        <w:rPr>
          <w:rFonts w:ascii="Arial" w:eastAsia="Arial" w:hAnsi="Arial" w:cs="Arial"/>
          <w:sz w:val="24"/>
          <w:szCs w:val="24"/>
        </w:rPr>
      </w:pPr>
      <w:r w:rsidRPr="001D4A80">
        <w:rPr>
          <w:rFonts w:ascii="Arial" w:eastAsia="Arial" w:hAnsi="Arial" w:cs="Arial"/>
          <w:b/>
          <w:bCs/>
          <w:spacing w:val="1"/>
          <w:sz w:val="24"/>
          <w:szCs w:val="24"/>
        </w:rPr>
        <w:t xml:space="preserve">Nous recommandons de clarifier que seul le contrat en vertu duquel la franchise est réellement accordée (et non pas seulement en vertu d’une mise de fonds, d’une entente de confidentialité ou de toute autre entente auxiliaire) </w:t>
      </w:r>
      <w:r w:rsidR="001D4A80" w:rsidRPr="001D4A80">
        <w:rPr>
          <w:rFonts w:ascii="Arial" w:eastAsia="Arial" w:hAnsi="Arial" w:cs="Arial"/>
          <w:b/>
          <w:bCs/>
          <w:spacing w:val="1"/>
          <w:sz w:val="24"/>
          <w:szCs w:val="24"/>
        </w:rPr>
        <w:t>peut</w:t>
      </w:r>
      <w:r w:rsidRPr="001D4A80">
        <w:rPr>
          <w:rFonts w:ascii="Arial" w:eastAsia="Arial" w:hAnsi="Arial" w:cs="Arial"/>
          <w:b/>
          <w:bCs/>
          <w:spacing w:val="1"/>
          <w:sz w:val="24"/>
          <w:szCs w:val="24"/>
        </w:rPr>
        <w:t xml:space="preserve"> donner lieu à une obligation de divulgation de la part du franchiseur (et à un outil de résolution éventuel à l'avantage du franchisé).</w:t>
      </w:r>
    </w:p>
    <w:p w:rsidR="00047FAE" w:rsidRDefault="00047FAE">
      <w:pPr>
        <w:spacing w:line="240" w:lineRule="exact"/>
        <w:rPr>
          <w:sz w:val="24"/>
          <w:szCs w:val="24"/>
        </w:rPr>
      </w:pPr>
    </w:p>
    <w:p w:rsidR="00047FAE" w:rsidRDefault="008C611B">
      <w:pPr>
        <w:pStyle w:val="BodyText"/>
        <w:ind w:left="100" w:right="116"/>
        <w:jc w:val="both"/>
      </w:pPr>
      <w:r w:rsidRPr="005A117B">
        <w:rPr>
          <w:spacing w:val="2"/>
        </w:rPr>
        <w:t>En ce moment, la définition de « contrat de franchis</w:t>
      </w:r>
      <w:r w:rsidR="001D4A80" w:rsidRPr="005A117B">
        <w:rPr>
          <w:spacing w:val="2"/>
        </w:rPr>
        <w:t>ag</w:t>
      </w:r>
      <w:r w:rsidRPr="005A117B">
        <w:rPr>
          <w:spacing w:val="2"/>
        </w:rPr>
        <w:t xml:space="preserve">e » est très vague, </w:t>
      </w:r>
      <w:r w:rsidR="005A117B" w:rsidRPr="005A117B">
        <w:rPr>
          <w:spacing w:val="2"/>
        </w:rPr>
        <w:t>soit « t</w:t>
      </w:r>
      <w:r w:rsidRPr="005A117B">
        <w:rPr>
          <w:spacing w:val="2"/>
        </w:rPr>
        <w:t xml:space="preserve">oute entente qui concerne une franchise et qui est conclue entre les personnes suivantes : a) le franchiseur ou la personne qui a </w:t>
      </w:r>
      <w:r w:rsidR="005A117B" w:rsidRPr="005A117B">
        <w:rPr>
          <w:spacing w:val="2"/>
        </w:rPr>
        <w:t>un</w:t>
      </w:r>
      <w:r w:rsidRPr="005A117B">
        <w:rPr>
          <w:spacing w:val="2"/>
        </w:rPr>
        <w:t xml:space="preserve"> lien avec lui et b) le franchisé</w:t>
      </w:r>
      <w:r w:rsidR="005A117B" w:rsidRPr="005A117B">
        <w:rPr>
          <w:spacing w:val="2"/>
        </w:rPr>
        <w:t> »</w:t>
      </w:r>
      <w:r w:rsidRPr="005A117B">
        <w:rPr>
          <w:spacing w:val="2"/>
        </w:rPr>
        <w:t>.</w:t>
      </w:r>
      <w:r w:rsidR="00A04950">
        <w:rPr>
          <w:spacing w:val="2"/>
        </w:rPr>
        <w:t xml:space="preserve"> </w:t>
      </w:r>
      <w:r w:rsidR="007309FF">
        <w:rPr>
          <w:spacing w:val="23"/>
        </w:rPr>
        <w:t xml:space="preserve"> </w:t>
      </w:r>
      <w:r w:rsidRPr="00AE0B7A">
        <w:t xml:space="preserve">Depuis l’entrée en vigueur de la LAW, il existe de l’incertitude au sein de l’industrie du franchisage, à savoir </w:t>
      </w:r>
      <w:r w:rsidR="005A117B" w:rsidRPr="00AE0B7A">
        <w:t>s</w:t>
      </w:r>
      <w:r w:rsidRPr="00AE0B7A">
        <w:t>i cette définition capte bien les diverses ententes auxiliaires que les franchiseurs concluent généralement avec leur</w:t>
      </w:r>
      <w:r w:rsidR="004F7AB8">
        <w:t xml:space="preserve">s </w:t>
      </w:r>
      <w:r w:rsidRPr="00AE0B7A">
        <w:t>franchisés, comme les ententes de mise de fonds, les ententes de réservation de territoire et les ententes de non-divulgation, dont grand nombre sont conclues avant la conclusion du vrai « contrat de franchisage</w:t>
      </w:r>
      <w:r w:rsidR="005A117B" w:rsidRPr="00AE0B7A">
        <w:t> »</w:t>
      </w:r>
      <w:r w:rsidRPr="00AE0B7A">
        <w:t xml:space="preserve"> (soit le contrat qui a pour effet de conférer la licence d’exploitation de l’</w:t>
      </w:r>
      <w:r w:rsidR="005A117B" w:rsidRPr="00AE0B7A">
        <w:t>affaire</w:t>
      </w:r>
      <w:r w:rsidRPr="00AE0B7A">
        <w:t xml:space="preserve"> en question).</w:t>
      </w:r>
    </w:p>
    <w:p w:rsidR="00047FAE" w:rsidRDefault="00047FAE">
      <w:pPr>
        <w:spacing w:line="240" w:lineRule="exact"/>
        <w:rPr>
          <w:sz w:val="24"/>
          <w:szCs w:val="24"/>
        </w:rPr>
      </w:pPr>
    </w:p>
    <w:p w:rsidR="00047FAE" w:rsidRDefault="008C611B">
      <w:pPr>
        <w:pStyle w:val="BodyText"/>
        <w:ind w:left="100" w:right="117"/>
        <w:jc w:val="both"/>
      </w:pPr>
      <w:r w:rsidRPr="00AE0B7A">
        <w:rPr>
          <w:spacing w:val="2"/>
        </w:rPr>
        <w:t xml:space="preserve">Cette incertitude </w:t>
      </w:r>
      <w:r w:rsidR="00B623DF" w:rsidRPr="00AE0B7A">
        <w:rPr>
          <w:spacing w:val="2"/>
        </w:rPr>
        <w:t>concerne plus précisément ce qui suit : à savoir si et quan</w:t>
      </w:r>
      <w:r w:rsidR="00AE0B7A" w:rsidRPr="00AE0B7A">
        <w:rPr>
          <w:spacing w:val="2"/>
        </w:rPr>
        <w:t>d</w:t>
      </w:r>
      <w:r w:rsidR="00B623DF" w:rsidRPr="00AE0B7A">
        <w:rPr>
          <w:spacing w:val="2"/>
        </w:rPr>
        <w:t xml:space="preserve"> le </w:t>
      </w:r>
      <w:r w:rsidR="003953F5" w:rsidRPr="00AE0B7A">
        <w:rPr>
          <w:spacing w:val="2"/>
        </w:rPr>
        <w:t>document d’information</w:t>
      </w:r>
      <w:r w:rsidR="00B623DF" w:rsidRPr="00AE0B7A">
        <w:rPr>
          <w:spacing w:val="2"/>
        </w:rPr>
        <w:t xml:space="preserve"> </w:t>
      </w:r>
      <w:r w:rsidR="00AE0B7A" w:rsidRPr="00AE0B7A">
        <w:rPr>
          <w:spacing w:val="2"/>
        </w:rPr>
        <w:t>approprié</w:t>
      </w:r>
      <w:r w:rsidR="00B623DF" w:rsidRPr="00AE0B7A">
        <w:rPr>
          <w:spacing w:val="2"/>
        </w:rPr>
        <w:t xml:space="preserve"> doit être présenté au franchisé éventuel, car selon l’</w:t>
      </w:r>
      <w:r w:rsidR="00E47CE3" w:rsidRPr="00AE0B7A">
        <w:rPr>
          <w:spacing w:val="2"/>
        </w:rPr>
        <w:t>article</w:t>
      </w:r>
      <w:r w:rsidR="003953F5" w:rsidRPr="00AE0B7A">
        <w:rPr>
          <w:spacing w:val="29"/>
        </w:rPr>
        <w:t> </w:t>
      </w:r>
      <w:r w:rsidRPr="00AE0B7A">
        <w:t>5</w:t>
      </w:r>
      <w:r w:rsidR="00B623DF" w:rsidRPr="00AE0B7A">
        <w:t> </w:t>
      </w:r>
      <w:r w:rsidRPr="00AE0B7A">
        <w:rPr>
          <w:spacing w:val="-1"/>
        </w:rPr>
        <w:t>(</w:t>
      </w:r>
      <w:r w:rsidRPr="00AE0B7A">
        <w:t>1)</w:t>
      </w:r>
      <w:r w:rsidRPr="00AE0B7A">
        <w:rPr>
          <w:spacing w:val="28"/>
        </w:rPr>
        <w:t xml:space="preserve"> </w:t>
      </w:r>
      <w:r w:rsidR="00B623DF" w:rsidRPr="00AE0B7A">
        <w:t xml:space="preserve">de la LAW, </w:t>
      </w:r>
      <w:r w:rsidR="003953F5" w:rsidRPr="00AE0B7A">
        <w:t xml:space="preserve">le franchiseur fournit au franchisé </w:t>
      </w:r>
      <w:r w:rsidR="003953F5" w:rsidRPr="00AE0B7A">
        <w:rPr>
          <w:rFonts w:cs="Helvetica"/>
          <w:color w:val="222222"/>
        </w:rPr>
        <w:t>éventuel un document d’information, que ce dernier doit recevoir au moins 14 jours avant le premier en date des faits suivants : « le franchisé éventuel signe le contrat de franchisage ou toute autre entente relative à la franchise » et « le franchisé éventuel verse une contrepartie relative à la franchise</w:t>
      </w:r>
      <w:r w:rsidR="00E924F7" w:rsidRPr="00AE0B7A">
        <w:rPr>
          <w:rFonts w:cs="Helvetica"/>
          <w:color w:val="222222"/>
        </w:rPr>
        <w:t>…</w:t>
      </w:r>
      <w:r w:rsidR="003953F5" w:rsidRPr="00AE0B7A">
        <w:rPr>
          <w:rFonts w:cs="Helvetica"/>
          <w:color w:val="222222"/>
        </w:rPr>
        <w:t xml:space="preserve"> ou une telle contrepartie est versée pour son compte</w:t>
      </w:r>
      <w:r w:rsidR="00E924F7" w:rsidRPr="00AE0B7A">
        <w:rPr>
          <w:rFonts w:cs="Helvetica"/>
          <w:color w:val="222222"/>
        </w:rPr>
        <w:t> »</w:t>
      </w:r>
      <w:r w:rsidRPr="00AE0B7A">
        <w:t>.</w:t>
      </w:r>
      <w:r w:rsidR="007309FF">
        <w:rPr>
          <w:spacing w:val="24"/>
        </w:rPr>
        <w:t xml:space="preserve"> </w:t>
      </w:r>
      <w:r w:rsidR="00E924F7" w:rsidRPr="004A5026">
        <w:rPr>
          <w:spacing w:val="-2"/>
        </w:rPr>
        <w:t>Autrement dit, si les ententes auxiliaires, comme les ententes de mise de fonds, les ententes de réservation et les ententes de non-divulgation sont des « contrats de franchis</w:t>
      </w:r>
      <w:r w:rsidR="00C77642" w:rsidRPr="004A5026">
        <w:rPr>
          <w:spacing w:val="-2"/>
        </w:rPr>
        <w:t>ag</w:t>
      </w:r>
      <w:r w:rsidR="00E924F7" w:rsidRPr="004A5026">
        <w:rPr>
          <w:spacing w:val="-2"/>
        </w:rPr>
        <w:t xml:space="preserve">e » ou d’autres ententes « se rapportant » à la franchise, </w:t>
      </w:r>
      <w:r w:rsidR="005948B7" w:rsidRPr="004A5026">
        <w:rPr>
          <w:spacing w:val="-2"/>
        </w:rPr>
        <w:t xml:space="preserve">est-ce que leur </w:t>
      </w:r>
      <w:r w:rsidR="00C77642" w:rsidRPr="004A5026">
        <w:rPr>
          <w:spacing w:val="-2"/>
        </w:rPr>
        <w:t>souscription par le franchisé éventuel ne déclenche pas une obligation de divulgation antérieure de la part du franchiseur, et ne peuvent-elles pas faire l’objet d’une</w:t>
      </w:r>
      <w:r w:rsidR="00A04950">
        <w:rPr>
          <w:spacing w:val="-2"/>
        </w:rPr>
        <w:t xml:space="preserve"> </w:t>
      </w:r>
      <w:r w:rsidR="00230C31" w:rsidRPr="004A5026">
        <w:rPr>
          <w:spacing w:val="-2"/>
        </w:rPr>
        <w:t>résolut</w:t>
      </w:r>
      <w:r w:rsidR="00C77642" w:rsidRPr="004A5026">
        <w:rPr>
          <w:spacing w:val="-2"/>
        </w:rPr>
        <w:t>ion s</w:t>
      </w:r>
      <w:r w:rsidR="00230C31" w:rsidRPr="004A5026">
        <w:rPr>
          <w:spacing w:val="-2"/>
        </w:rPr>
        <w:t>i le franchiseur omet de respec</w:t>
      </w:r>
      <w:r w:rsidR="00C77642" w:rsidRPr="004A5026">
        <w:rPr>
          <w:spacing w:val="-2"/>
        </w:rPr>
        <w:t>ter cette obligation de divulgation?</w:t>
      </w:r>
    </w:p>
    <w:p w:rsidR="00047FAE" w:rsidRDefault="00047FAE">
      <w:pPr>
        <w:spacing w:line="240" w:lineRule="exact"/>
        <w:rPr>
          <w:sz w:val="24"/>
          <w:szCs w:val="24"/>
        </w:rPr>
      </w:pPr>
    </w:p>
    <w:p w:rsidR="00047FAE" w:rsidRDefault="00736633" w:rsidP="00DF064B">
      <w:pPr>
        <w:pStyle w:val="BodyText"/>
        <w:ind w:left="100" w:right="116"/>
        <w:jc w:val="both"/>
      </w:pPr>
      <w:r w:rsidRPr="004A5026">
        <w:t>Toutes les autres provinces qui ont adopté une loi sur le franchisage après l’Onta</w:t>
      </w:r>
      <w:r w:rsidRPr="004A5026">
        <w:rPr>
          <w:spacing w:val="-1"/>
        </w:rPr>
        <w:t>ri</w:t>
      </w:r>
      <w:r w:rsidRPr="004A5026">
        <w:t xml:space="preserve">o ont </w:t>
      </w:r>
      <w:r w:rsidRPr="004A5026">
        <w:lastRenderedPageBreak/>
        <w:t>tenté d'aborder cette situation d’une certaine manière.</w:t>
      </w:r>
      <w:r w:rsidR="007309FF">
        <w:rPr>
          <w:spacing w:val="49"/>
        </w:rPr>
        <w:t xml:space="preserve"> </w:t>
      </w:r>
      <w:r w:rsidRPr="004A5026">
        <w:rPr>
          <w:spacing w:val="-1"/>
        </w:rPr>
        <w:t>Souvent, les ententes relatives aux mises de f</w:t>
      </w:r>
      <w:r w:rsidR="004A5026" w:rsidRPr="004A5026">
        <w:rPr>
          <w:spacing w:val="-1"/>
        </w:rPr>
        <w:t>onds (pour les mises de fonds entière</w:t>
      </w:r>
      <w:r w:rsidRPr="004A5026">
        <w:rPr>
          <w:spacing w:val="-1"/>
        </w:rPr>
        <w:t xml:space="preserve">ment remboursables ne dépassant pas un montant prescrit), les ententes de réservation de territoire et les ententes de confidentialité (à quelques </w:t>
      </w:r>
      <w:r w:rsidRPr="004A5026">
        <w:t>e</w:t>
      </w:r>
      <w:r w:rsidRPr="004A5026">
        <w:rPr>
          <w:spacing w:val="-3"/>
        </w:rPr>
        <w:t>x</w:t>
      </w:r>
      <w:r w:rsidRPr="004A5026">
        <w:t>cept</w:t>
      </w:r>
      <w:r w:rsidRPr="004A5026">
        <w:rPr>
          <w:spacing w:val="-1"/>
        </w:rPr>
        <w:t>i</w:t>
      </w:r>
      <w:r w:rsidRPr="004A5026">
        <w:t>on</w:t>
      </w:r>
      <w:r w:rsidRPr="004A5026">
        <w:rPr>
          <w:spacing w:val="-3"/>
        </w:rPr>
        <w:t xml:space="preserve">s près) sont expressément exclues des exigences de divulgation de la loi </w:t>
      </w:r>
      <w:r w:rsidR="004A5026" w:rsidRPr="004A5026">
        <w:rPr>
          <w:spacing w:val="-3"/>
        </w:rPr>
        <w:t>applicable</w:t>
      </w:r>
      <w:r w:rsidRPr="004A5026">
        <w:rPr>
          <w:spacing w:val="-3"/>
        </w:rPr>
        <w:t>.</w:t>
      </w:r>
      <w:r w:rsidR="007309FF">
        <w:rPr>
          <w:spacing w:val="5"/>
        </w:rPr>
        <w:t xml:space="preserve"> </w:t>
      </w:r>
      <w:r w:rsidR="001F7798" w:rsidRPr="004A5026">
        <w:t>En plus de cette e</w:t>
      </w:r>
      <w:r w:rsidR="001F7798" w:rsidRPr="004A5026">
        <w:rPr>
          <w:spacing w:val="-3"/>
        </w:rPr>
        <w:t>x</w:t>
      </w:r>
      <w:r w:rsidR="001F7798" w:rsidRPr="004A5026">
        <w:t>c</w:t>
      </w:r>
      <w:r w:rsidR="001F7798" w:rsidRPr="004A5026">
        <w:rPr>
          <w:spacing w:val="1"/>
        </w:rPr>
        <w:t>l</w:t>
      </w:r>
      <w:r w:rsidR="001F7798" w:rsidRPr="004A5026">
        <w:t>us</w:t>
      </w:r>
      <w:r w:rsidR="001F7798" w:rsidRPr="004A5026">
        <w:rPr>
          <w:spacing w:val="-1"/>
        </w:rPr>
        <w:t>i</w:t>
      </w:r>
      <w:r w:rsidR="001F7798" w:rsidRPr="004A5026">
        <w:t xml:space="preserve">on </w:t>
      </w:r>
      <w:r w:rsidR="00F45858" w:rsidRPr="004A5026">
        <w:t>e</w:t>
      </w:r>
      <w:r w:rsidR="00F45858" w:rsidRPr="004A5026">
        <w:rPr>
          <w:spacing w:val="-3"/>
        </w:rPr>
        <w:t>x</w:t>
      </w:r>
      <w:r w:rsidR="00F45858" w:rsidRPr="004A5026">
        <w:t>p</w:t>
      </w:r>
      <w:r w:rsidR="00F45858" w:rsidRPr="004A5026">
        <w:rPr>
          <w:spacing w:val="-1"/>
        </w:rPr>
        <w:t>r</w:t>
      </w:r>
      <w:r w:rsidR="00F45858" w:rsidRPr="004A5026">
        <w:t>esse, l’A</w:t>
      </w:r>
      <w:r w:rsidR="00AB183D" w:rsidRPr="004A5026">
        <w:t xml:space="preserve">BO a recommandé de clarifier </w:t>
      </w:r>
      <w:r w:rsidR="00F45858" w:rsidRPr="004A5026">
        <w:t xml:space="preserve">la LAW </w:t>
      </w:r>
      <w:r w:rsidR="00AB183D" w:rsidRPr="004A5026">
        <w:t>davantage afin de reconnaître que l’expression « contrat de franchisage » ne devrait</w:t>
      </w:r>
      <w:r w:rsidR="00DF064B">
        <w:t xml:space="preserve"> </w:t>
      </w:r>
      <w:r w:rsidR="00AB183D" w:rsidRPr="004A5026">
        <w:t xml:space="preserve">couvrir que l'entente en vertu de laquelle la franchise est concédée, et qu’une définition distincte d'« ententes connexes » soit ajoutée pour </w:t>
      </w:r>
      <w:r w:rsidR="004A5026" w:rsidRPr="004A5026">
        <w:t xml:space="preserve">englober </w:t>
      </w:r>
      <w:r w:rsidR="00AB183D" w:rsidRPr="004A5026">
        <w:t>les ent</w:t>
      </w:r>
      <w:r w:rsidR="004A5026" w:rsidRPr="004A5026">
        <w:t>e</w:t>
      </w:r>
      <w:r w:rsidR="00AB183D" w:rsidRPr="004A5026">
        <w:t>ntes auxiliaires susmentionnées, particulièrement lorsque celles-ci sont conclues avant la conclusion du « contrat de franchisage ».</w:t>
      </w:r>
      <w:r w:rsidR="007309FF">
        <w:rPr>
          <w:spacing w:val="18"/>
        </w:rPr>
        <w:t xml:space="preserve"> </w:t>
      </w:r>
      <w:r w:rsidR="004A5026" w:rsidRPr="004A5026">
        <w:rPr>
          <w:spacing w:val="2"/>
        </w:rPr>
        <w:t>Le Conseil est e</w:t>
      </w:r>
      <w:r w:rsidR="00AB183D" w:rsidRPr="004A5026">
        <w:rPr>
          <w:spacing w:val="2"/>
        </w:rPr>
        <w:t xml:space="preserve">n accord avec cette manière de procéder. Cela offre non seulement de la certitude, mais a aussi pour effet d’harmoniser la LAW avec les lois </w:t>
      </w:r>
      <w:r w:rsidR="004A5026" w:rsidRPr="004A5026">
        <w:rPr>
          <w:spacing w:val="2"/>
        </w:rPr>
        <w:t>subséquentes</w:t>
      </w:r>
      <w:r w:rsidR="00AB183D" w:rsidRPr="004A5026">
        <w:rPr>
          <w:spacing w:val="2"/>
        </w:rPr>
        <w:t xml:space="preserve"> d’autres provinces.</w:t>
      </w:r>
    </w:p>
    <w:p w:rsidR="00047FAE" w:rsidRDefault="00047FAE">
      <w:pPr>
        <w:spacing w:line="240" w:lineRule="exact"/>
        <w:rPr>
          <w:sz w:val="24"/>
          <w:szCs w:val="24"/>
        </w:rPr>
      </w:pPr>
    </w:p>
    <w:p w:rsidR="00047FAE" w:rsidRPr="004A5026" w:rsidRDefault="00AB183D" w:rsidP="004A5026">
      <w:pPr>
        <w:numPr>
          <w:ilvl w:val="0"/>
          <w:numId w:val="26"/>
        </w:numPr>
        <w:tabs>
          <w:tab w:val="left" w:pos="840"/>
        </w:tabs>
        <w:ind w:left="840" w:right="2344"/>
        <w:jc w:val="both"/>
        <w:rPr>
          <w:rFonts w:ascii="Arial" w:eastAsia="Arial" w:hAnsi="Arial" w:cs="Arial"/>
          <w:sz w:val="24"/>
          <w:szCs w:val="24"/>
        </w:rPr>
      </w:pPr>
      <w:bookmarkStart w:id="54" w:name="9._Non-application_of_the_AWA_–_Single_L"/>
      <w:bookmarkEnd w:id="54"/>
      <w:r w:rsidRPr="004A5026">
        <w:rPr>
          <w:rFonts w:ascii="Arial" w:eastAsia="Arial" w:hAnsi="Arial" w:cs="Arial"/>
          <w:b/>
          <w:bCs/>
          <w:spacing w:val="-1"/>
          <w:sz w:val="24"/>
          <w:szCs w:val="24"/>
        </w:rPr>
        <w:t>Non</w:t>
      </w:r>
      <w:r w:rsidR="00BD4B74" w:rsidRPr="004A5026">
        <w:rPr>
          <w:rFonts w:ascii="Arial" w:eastAsia="Arial" w:hAnsi="Arial" w:cs="Arial"/>
          <w:b/>
          <w:bCs/>
          <w:spacing w:val="-1"/>
          <w:sz w:val="24"/>
          <w:szCs w:val="24"/>
        </w:rPr>
        <w:t>-</w:t>
      </w:r>
      <w:r w:rsidR="00BD4B74" w:rsidRPr="004A5026">
        <w:rPr>
          <w:rFonts w:ascii="Arial" w:eastAsia="Arial" w:hAnsi="Arial" w:cs="Arial"/>
          <w:b/>
          <w:bCs/>
          <w:sz w:val="24"/>
          <w:szCs w:val="24"/>
        </w:rPr>
        <w:t>a</w:t>
      </w:r>
      <w:r w:rsidR="00BD4B74" w:rsidRPr="004A5026">
        <w:rPr>
          <w:rFonts w:ascii="Arial" w:eastAsia="Arial" w:hAnsi="Arial" w:cs="Arial"/>
          <w:b/>
          <w:bCs/>
          <w:spacing w:val="-1"/>
          <w:sz w:val="24"/>
          <w:szCs w:val="24"/>
        </w:rPr>
        <w:t>pp</w:t>
      </w:r>
      <w:r w:rsidR="00BD4B74" w:rsidRPr="004A5026">
        <w:rPr>
          <w:rFonts w:ascii="Arial" w:eastAsia="Arial" w:hAnsi="Arial" w:cs="Arial"/>
          <w:b/>
          <w:bCs/>
          <w:sz w:val="24"/>
          <w:szCs w:val="24"/>
        </w:rPr>
        <w:t>lica</w:t>
      </w:r>
      <w:r w:rsidR="00BD4B74" w:rsidRPr="004A5026">
        <w:rPr>
          <w:rFonts w:ascii="Arial" w:eastAsia="Arial" w:hAnsi="Arial" w:cs="Arial"/>
          <w:b/>
          <w:bCs/>
          <w:spacing w:val="-1"/>
          <w:sz w:val="24"/>
          <w:szCs w:val="24"/>
        </w:rPr>
        <w:t>t</w:t>
      </w:r>
      <w:r w:rsidR="00BD4B74" w:rsidRPr="004A5026">
        <w:rPr>
          <w:rFonts w:ascii="Arial" w:eastAsia="Arial" w:hAnsi="Arial" w:cs="Arial"/>
          <w:b/>
          <w:bCs/>
          <w:sz w:val="24"/>
          <w:szCs w:val="24"/>
        </w:rPr>
        <w:t>i</w:t>
      </w:r>
      <w:r w:rsidR="00BD4B74" w:rsidRPr="004A5026">
        <w:rPr>
          <w:rFonts w:ascii="Arial" w:eastAsia="Arial" w:hAnsi="Arial" w:cs="Arial"/>
          <w:b/>
          <w:bCs/>
          <w:spacing w:val="-1"/>
          <w:sz w:val="24"/>
          <w:szCs w:val="24"/>
        </w:rPr>
        <w:t>o</w:t>
      </w:r>
      <w:r w:rsidR="00BD4B74" w:rsidRPr="004A5026">
        <w:rPr>
          <w:rFonts w:ascii="Arial" w:eastAsia="Arial" w:hAnsi="Arial" w:cs="Arial"/>
          <w:b/>
          <w:bCs/>
          <w:sz w:val="24"/>
          <w:szCs w:val="24"/>
        </w:rPr>
        <w:t xml:space="preserve">n de la LAW – Exemption de </w:t>
      </w:r>
      <w:r w:rsidR="00591859" w:rsidRPr="004A5026">
        <w:rPr>
          <w:rFonts w:ascii="Arial" w:eastAsia="Arial" w:hAnsi="Arial" w:cs="Arial"/>
          <w:b/>
          <w:bCs/>
          <w:sz w:val="24"/>
          <w:szCs w:val="24"/>
        </w:rPr>
        <w:t>licence unique</w:t>
      </w:r>
    </w:p>
    <w:p w:rsidR="00047FAE" w:rsidRDefault="00047FAE">
      <w:pPr>
        <w:spacing w:line="240" w:lineRule="exact"/>
        <w:rPr>
          <w:sz w:val="24"/>
          <w:szCs w:val="24"/>
        </w:rPr>
      </w:pPr>
    </w:p>
    <w:p w:rsidR="00047FAE" w:rsidRDefault="00591859">
      <w:pPr>
        <w:ind w:left="120" w:right="117"/>
        <w:jc w:val="both"/>
        <w:rPr>
          <w:rFonts w:ascii="Arial" w:eastAsia="Arial" w:hAnsi="Arial" w:cs="Arial"/>
          <w:sz w:val="24"/>
          <w:szCs w:val="24"/>
        </w:rPr>
      </w:pPr>
      <w:r w:rsidRPr="004A5026">
        <w:rPr>
          <w:rFonts w:ascii="Arial" w:eastAsia="Arial" w:hAnsi="Arial" w:cs="Arial"/>
          <w:b/>
          <w:bCs/>
          <w:spacing w:val="1"/>
          <w:sz w:val="24"/>
          <w:szCs w:val="24"/>
        </w:rPr>
        <w:t xml:space="preserve">Nous recommandons que l’exemption de la LAW dans le cas d’une licence accordée par un concédant à un licencié unique soit clarifiée pour énoncer la portée géographique </w:t>
      </w:r>
      <w:r w:rsidR="004A5026" w:rsidRPr="004A5026">
        <w:rPr>
          <w:rFonts w:ascii="Arial" w:eastAsia="Arial" w:hAnsi="Arial" w:cs="Arial"/>
          <w:b/>
          <w:bCs/>
          <w:spacing w:val="1"/>
          <w:sz w:val="24"/>
          <w:szCs w:val="24"/>
        </w:rPr>
        <w:t>appropriée</w:t>
      </w:r>
      <w:r w:rsidRPr="004A5026">
        <w:rPr>
          <w:rFonts w:ascii="Arial" w:eastAsia="Arial" w:hAnsi="Arial" w:cs="Arial"/>
          <w:b/>
          <w:bCs/>
          <w:spacing w:val="1"/>
          <w:sz w:val="24"/>
          <w:szCs w:val="24"/>
        </w:rPr>
        <w:t xml:space="preserve"> de la licence au Canada.</w:t>
      </w:r>
    </w:p>
    <w:p w:rsidR="00047FAE" w:rsidRDefault="00047FAE">
      <w:pPr>
        <w:spacing w:line="240" w:lineRule="exact"/>
        <w:rPr>
          <w:sz w:val="24"/>
          <w:szCs w:val="24"/>
        </w:rPr>
      </w:pPr>
    </w:p>
    <w:p w:rsidR="00047FAE" w:rsidRDefault="00591859">
      <w:pPr>
        <w:pStyle w:val="BodyText"/>
        <w:ind w:right="118"/>
        <w:jc w:val="both"/>
      </w:pPr>
      <w:r w:rsidRPr="004A5026">
        <w:t>Le paragraphe 2 (3) contient une liste d’e</w:t>
      </w:r>
      <w:r w:rsidRPr="004A5026">
        <w:rPr>
          <w:spacing w:val="-3"/>
        </w:rPr>
        <w:t>x</w:t>
      </w:r>
      <w:r w:rsidRPr="004A5026">
        <w:t>e</w:t>
      </w:r>
      <w:r w:rsidRPr="004A5026">
        <w:rPr>
          <w:spacing w:val="-1"/>
        </w:rPr>
        <w:t>m</w:t>
      </w:r>
      <w:r w:rsidRPr="004A5026">
        <w:rPr>
          <w:spacing w:val="-2"/>
        </w:rPr>
        <w:t>p</w:t>
      </w:r>
      <w:r w:rsidRPr="004A5026">
        <w:t>t</w:t>
      </w:r>
      <w:r w:rsidRPr="004A5026">
        <w:rPr>
          <w:spacing w:val="-1"/>
        </w:rPr>
        <w:t>i</w:t>
      </w:r>
      <w:r w:rsidRPr="004A5026">
        <w:t>ons de la LAW.</w:t>
      </w:r>
      <w:r w:rsidR="007309FF">
        <w:rPr>
          <w:spacing w:val="40"/>
        </w:rPr>
        <w:t xml:space="preserve"> </w:t>
      </w:r>
      <w:r w:rsidRPr="0087108D">
        <w:t>L’exemption de la « licence unique » dont il est question à l’alinéa 5 de cet article a suscité beaucoup de confusion et de nombreux débats quant à sa portée géographique :</w:t>
      </w:r>
    </w:p>
    <w:p w:rsidR="00047FAE" w:rsidRDefault="00047FAE">
      <w:pPr>
        <w:spacing w:line="240" w:lineRule="exact"/>
        <w:rPr>
          <w:sz w:val="24"/>
          <w:szCs w:val="24"/>
        </w:rPr>
      </w:pPr>
    </w:p>
    <w:p w:rsidR="00047FAE" w:rsidRDefault="0087108D">
      <w:pPr>
        <w:pStyle w:val="BodyText"/>
        <w:tabs>
          <w:tab w:val="left" w:pos="2279"/>
        </w:tabs>
        <w:ind w:left="1560" w:right="117"/>
      </w:pPr>
      <w:r>
        <w:rPr>
          <w:spacing w:val="1"/>
        </w:rPr>
        <w:t>« </w:t>
      </w:r>
      <w:r w:rsidR="007309FF">
        <w:rPr>
          <w:spacing w:val="-1"/>
        </w:rPr>
        <w:t>(</w:t>
      </w:r>
      <w:r w:rsidR="007309FF">
        <w:t>3)</w:t>
      </w:r>
      <w:r w:rsidR="007309FF">
        <w:tab/>
      </w:r>
      <w:r w:rsidR="00591859" w:rsidRPr="0087108D">
        <w:rPr>
          <w:rFonts w:cs="Helvetica"/>
          <w:color w:val="222222"/>
        </w:rPr>
        <w:t>La présente loi ne s’applique pas aux rapports ou arrangements commerciaux continus suivants :</w:t>
      </w:r>
    </w:p>
    <w:p w:rsidR="00047FAE" w:rsidRDefault="00047FAE">
      <w:pPr>
        <w:spacing w:line="240" w:lineRule="exact"/>
        <w:rPr>
          <w:sz w:val="24"/>
          <w:szCs w:val="24"/>
        </w:rPr>
      </w:pPr>
    </w:p>
    <w:p w:rsidR="00047FAE" w:rsidRDefault="007309FF">
      <w:pPr>
        <w:pStyle w:val="BodyText"/>
        <w:ind w:left="1560"/>
      </w:pPr>
      <w:r>
        <w:t>[...]</w:t>
      </w:r>
    </w:p>
    <w:p w:rsidR="00047FAE" w:rsidRDefault="00047FAE">
      <w:pPr>
        <w:spacing w:line="240" w:lineRule="exact"/>
        <w:rPr>
          <w:sz w:val="24"/>
          <w:szCs w:val="24"/>
        </w:rPr>
      </w:pPr>
    </w:p>
    <w:p w:rsidR="00047FAE" w:rsidRDefault="007309FF">
      <w:pPr>
        <w:pStyle w:val="BodyText"/>
        <w:tabs>
          <w:tab w:val="left" w:pos="2279"/>
        </w:tabs>
        <w:ind w:left="2280" w:right="117" w:hanging="720"/>
        <w:jc w:val="both"/>
      </w:pPr>
      <w:r>
        <w:t>5.</w:t>
      </w:r>
      <w:r>
        <w:tab/>
      </w:r>
      <w:r w:rsidR="00591859" w:rsidRPr="00FC5234">
        <w:rPr>
          <w:rFonts w:cs="Helvetica"/>
          <w:color w:val="222222"/>
        </w:rPr>
        <w:t>Un arrangement découlant d’une entente conclue entre un concédant et un licencié unique pour accorder une licence d’utilisation d’une marque de commerce, d’une marque de service, d’une appellation commerciale, d’un logo ou d’un symbole publicitaire ou autre symbole commercial particulier dans les cas où cette licence est la seule de cette nature et de ce type qu’accorde le concédant à leur égard. »</w:t>
      </w:r>
    </w:p>
    <w:p w:rsidR="00047FAE" w:rsidRDefault="00047FAE">
      <w:pPr>
        <w:spacing w:line="240" w:lineRule="exact"/>
        <w:rPr>
          <w:sz w:val="24"/>
          <w:szCs w:val="24"/>
        </w:rPr>
      </w:pPr>
    </w:p>
    <w:p w:rsidR="00047FAE" w:rsidRDefault="009C22E3">
      <w:pPr>
        <w:pStyle w:val="BodyText"/>
        <w:ind w:right="115"/>
        <w:jc w:val="both"/>
      </w:pPr>
      <w:r w:rsidRPr="00FC5234">
        <w:rPr>
          <w:spacing w:val="2"/>
        </w:rPr>
        <w:t xml:space="preserve">Selon le </w:t>
      </w:r>
      <w:r w:rsidRPr="00FC5234">
        <w:t>c</w:t>
      </w:r>
      <w:r w:rsidRPr="00FC5234">
        <w:rPr>
          <w:spacing w:val="-2"/>
        </w:rPr>
        <w:t>o</w:t>
      </w:r>
      <w:r w:rsidRPr="00FC5234">
        <w:t>ns</w:t>
      </w:r>
      <w:r w:rsidRPr="00FC5234">
        <w:rPr>
          <w:spacing w:val="-2"/>
        </w:rPr>
        <w:t>e</w:t>
      </w:r>
      <w:r w:rsidRPr="00FC5234">
        <w:t>n</w:t>
      </w:r>
      <w:r w:rsidRPr="00FC5234">
        <w:rPr>
          <w:spacing w:val="-3"/>
        </w:rPr>
        <w:t>s</w:t>
      </w:r>
      <w:r w:rsidRPr="00FC5234">
        <w:t>us général qui existe chez les spécialistes des fran</w:t>
      </w:r>
      <w:r w:rsidR="00FC5234" w:rsidRPr="00FC5234">
        <w:t>c</w:t>
      </w:r>
      <w:r w:rsidRPr="00FC5234">
        <w:t xml:space="preserve">hises et les parties prenantes </w:t>
      </w:r>
      <w:r w:rsidR="00FC5234" w:rsidRPr="00FC5234">
        <w:t>du</w:t>
      </w:r>
      <w:r w:rsidRPr="00FC5234">
        <w:t xml:space="preserve"> domaine, la portée géographique </w:t>
      </w:r>
      <w:r w:rsidR="00FC5234" w:rsidRPr="00FC5234">
        <w:t>approprié</w:t>
      </w:r>
      <w:r w:rsidRPr="00FC5234">
        <w:t xml:space="preserve">e de la licence en </w:t>
      </w:r>
      <w:r w:rsidRPr="00FC5234">
        <w:rPr>
          <w:spacing w:val="-2"/>
        </w:rPr>
        <w:t>q</w:t>
      </w:r>
      <w:r w:rsidRPr="00FC5234">
        <w:t>uest</w:t>
      </w:r>
      <w:r w:rsidRPr="00FC5234">
        <w:rPr>
          <w:spacing w:val="-1"/>
        </w:rPr>
        <w:t>i</w:t>
      </w:r>
      <w:r w:rsidRPr="00FC5234">
        <w:t xml:space="preserve">on est (ou devrait être) tout le </w:t>
      </w:r>
      <w:r w:rsidRPr="00FC5234">
        <w:rPr>
          <w:spacing w:val="-1"/>
        </w:rPr>
        <w:t>C</w:t>
      </w:r>
      <w:r w:rsidRPr="00FC5234">
        <w:t>an</w:t>
      </w:r>
      <w:r w:rsidRPr="00FC5234">
        <w:rPr>
          <w:spacing w:val="-2"/>
        </w:rPr>
        <w:t>a</w:t>
      </w:r>
      <w:r w:rsidRPr="00FC5234">
        <w:t>da :</w:t>
      </w:r>
      <w:r w:rsidR="007309FF">
        <w:rPr>
          <w:spacing w:val="18"/>
        </w:rPr>
        <w:t xml:space="preserve"> </w:t>
      </w:r>
      <w:r w:rsidRPr="00FC5234">
        <w:rPr>
          <w:spacing w:val="-3"/>
        </w:rPr>
        <w:t>s’il ne s’agissait que de l’</w:t>
      </w:r>
      <w:r w:rsidRPr="00FC5234">
        <w:t>Onta</w:t>
      </w:r>
      <w:r w:rsidRPr="00FC5234">
        <w:rPr>
          <w:spacing w:val="-1"/>
        </w:rPr>
        <w:t>ri</w:t>
      </w:r>
      <w:r w:rsidRPr="00FC5234">
        <w:t>o, alors, un nombre inacceptablement grand de franchises de l’Onta</w:t>
      </w:r>
      <w:r w:rsidRPr="00FC5234">
        <w:rPr>
          <w:spacing w:val="-1"/>
        </w:rPr>
        <w:t>ri</w:t>
      </w:r>
      <w:r w:rsidRPr="00FC5234">
        <w:t xml:space="preserve">o en </w:t>
      </w:r>
      <w:r w:rsidR="00A93B64" w:rsidRPr="00FC5234">
        <w:t>mode</w:t>
      </w:r>
      <w:r w:rsidR="00FC5234" w:rsidRPr="00FC5234">
        <w:t xml:space="preserve"> de</w:t>
      </w:r>
      <w:r w:rsidR="00A93B64" w:rsidRPr="00FC5234">
        <w:t xml:space="preserve"> démarrage serait, peut-on soutenir, exempté de la LAW pour ce qui est d</w:t>
      </w:r>
      <w:r w:rsidR="00FC5234" w:rsidRPr="00FC5234">
        <w:t>u</w:t>
      </w:r>
      <w:r w:rsidR="00A93B64" w:rsidRPr="00FC5234">
        <w:t xml:space="preserve"> premier octroi de franchise. Cela dit, si cela comprenait des ressorts à l’extérieur du Canada (c’est-à-dire en sus du Canada), la condition d’exemption serait tellement </w:t>
      </w:r>
      <w:r w:rsidR="00735007" w:rsidRPr="00FC5234">
        <w:t xml:space="preserve">lourde dans la plupart des cas que l’exemption deviendrait </w:t>
      </w:r>
      <w:r w:rsidR="001B0058" w:rsidRPr="00FC5234">
        <w:t>dénuée de sens, surtout dans le cas des franchiseurs établis dans d’autres ressorts et qui cherchent à agrandir leurs réseaux en Onta</w:t>
      </w:r>
      <w:r w:rsidR="001B0058" w:rsidRPr="00FC5234">
        <w:rPr>
          <w:spacing w:val="-1"/>
        </w:rPr>
        <w:t>ri</w:t>
      </w:r>
      <w:r w:rsidR="001B0058" w:rsidRPr="00FC5234">
        <w:t xml:space="preserve">o ou ailleurs au </w:t>
      </w:r>
      <w:r w:rsidR="001B0058" w:rsidRPr="00FC5234">
        <w:rPr>
          <w:spacing w:val="-1"/>
        </w:rPr>
        <w:t>C</w:t>
      </w:r>
      <w:r w:rsidR="001B0058" w:rsidRPr="00FC5234">
        <w:rPr>
          <w:spacing w:val="-2"/>
        </w:rPr>
        <w:t>a</w:t>
      </w:r>
      <w:r w:rsidR="001B0058" w:rsidRPr="00FC5234">
        <w:t>n</w:t>
      </w:r>
      <w:r w:rsidR="001B0058" w:rsidRPr="00FC5234">
        <w:rPr>
          <w:spacing w:val="-2"/>
        </w:rPr>
        <w:t>a</w:t>
      </w:r>
      <w:r w:rsidR="001B0058" w:rsidRPr="00FC5234">
        <w:t>da.</w:t>
      </w:r>
    </w:p>
    <w:p w:rsidR="00047FAE" w:rsidRDefault="00047FAE">
      <w:pPr>
        <w:spacing w:line="240" w:lineRule="exact"/>
        <w:rPr>
          <w:sz w:val="24"/>
          <w:szCs w:val="24"/>
        </w:rPr>
      </w:pPr>
    </w:p>
    <w:p w:rsidR="00047FAE" w:rsidRDefault="00FC5234">
      <w:pPr>
        <w:pStyle w:val="BodyText"/>
        <w:ind w:right="118"/>
        <w:jc w:val="both"/>
      </w:pPr>
      <w:r w:rsidRPr="00FC5234">
        <w:t>P</w:t>
      </w:r>
      <w:r w:rsidR="001B0058" w:rsidRPr="00FC5234">
        <w:t>ar co</w:t>
      </w:r>
      <w:r w:rsidRPr="00FC5234">
        <w:t>nséquent, le Conseil recommande</w:t>
      </w:r>
      <w:r w:rsidR="001B0058" w:rsidRPr="00FC5234">
        <w:t xml:space="preserve"> d’insérer les termes « au Canada » après le mot « égard » à la dernière ligne de cet alinéa, de sorte que l’alinéa se lise, dans </w:t>
      </w:r>
      <w:r w:rsidRPr="00FC5234">
        <w:t>son segment pe</w:t>
      </w:r>
      <w:r w:rsidR="001B0058" w:rsidRPr="00FC5234">
        <w:t>rtinent, « </w:t>
      </w:r>
      <w:r w:rsidR="001B0058" w:rsidRPr="00FC5234">
        <w:rPr>
          <w:rFonts w:cs="Helvetica"/>
          <w:color w:val="222222"/>
        </w:rPr>
        <w:t xml:space="preserve">où cette licence est la seule de cette nature et de ce type </w:t>
      </w:r>
      <w:r w:rsidR="001B0058" w:rsidRPr="00FC5234">
        <w:rPr>
          <w:rFonts w:cs="Helvetica"/>
          <w:color w:val="222222"/>
        </w:rPr>
        <w:lastRenderedPageBreak/>
        <w:t>qu’accorde le concédant à leur égard au Canada ».</w:t>
      </w:r>
    </w:p>
    <w:p w:rsidR="00047FAE" w:rsidRDefault="00047FAE">
      <w:pPr>
        <w:spacing w:line="240" w:lineRule="exact"/>
        <w:rPr>
          <w:sz w:val="24"/>
          <w:szCs w:val="24"/>
        </w:rPr>
      </w:pPr>
    </w:p>
    <w:p w:rsidR="00047FAE" w:rsidRDefault="00E52592">
      <w:pPr>
        <w:pStyle w:val="BodyText"/>
        <w:ind w:right="115"/>
        <w:jc w:val="both"/>
      </w:pPr>
      <w:r w:rsidRPr="00DB2298">
        <w:t xml:space="preserve">Par ailleurs, </w:t>
      </w:r>
      <w:r w:rsidR="00FC5234" w:rsidRPr="00DB2298">
        <w:t>force est de constater</w:t>
      </w:r>
      <w:r w:rsidR="00704D6F" w:rsidRPr="00DB2298">
        <w:t xml:space="preserve"> que chaque province qui a adopté une loi sur le franchisage après l’Ontario a intégré la qualification dont il est question ci-dessus dans sa propre loi. Par conséquent, la modification susmentionnée aurait pour effet d'uniformiser cette question d’un bout à l’autre du Canada.</w:t>
      </w:r>
    </w:p>
    <w:p w:rsidR="00047FAE" w:rsidRDefault="00047FAE">
      <w:pPr>
        <w:spacing w:line="200" w:lineRule="exact"/>
        <w:rPr>
          <w:sz w:val="20"/>
          <w:szCs w:val="20"/>
        </w:rPr>
      </w:pPr>
    </w:p>
    <w:p w:rsidR="00047FAE" w:rsidRPr="00DB2298" w:rsidRDefault="00EF23D9" w:rsidP="00DF064B">
      <w:pPr>
        <w:numPr>
          <w:ilvl w:val="0"/>
          <w:numId w:val="26"/>
        </w:numPr>
        <w:tabs>
          <w:tab w:val="left" w:pos="840"/>
          <w:tab w:val="left" w:pos="7938"/>
        </w:tabs>
        <w:spacing w:before="69"/>
        <w:ind w:left="840" w:right="1945"/>
        <w:jc w:val="both"/>
        <w:rPr>
          <w:rFonts w:ascii="Arial" w:eastAsia="Arial" w:hAnsi="Arial" w:cs="Arial"/>
          <w:sz w:val="24"/>
          <w:szCs w:val="24"/>
        </w:rPr>
      </w:pPr>
      <w:bookmarkStart w:id="55" w:name="10._Financial_Statement_Disclosure_under"/>
      <w:bookmarkEnd w:id="55"/>
      <w:r w:rsidRPr="00DB2298">
        <w:rPr>
          <w:rFonts w:ascii="Arial" w:eastAsia="Arial" w:hAnsi="Arial" w:cs="Arial"/>
          <w:b/>
          <w:bCs/>
          <w:spacing w:val="-1"/>
          <w:sz w:val="24"/>
          <w:szCs w:val="24"/>
        </w:rPr>
        <w:t>Divulgation des états financiers en vertu de la LAW</w:t>
      </w:r>
    </w:p>
    <w:p w:rsidR="00047FAE" w:rsidRDefault="00047FAE">
      <w:pPr>
        <w:spacing w:line="240" w:lineRule="exact"/>
        <w:rPr>
          <w:sz w:val="24"/>
          <w:szCs w:val="24"/>
        </w:rPr>
      </w:pPr>
    </w:p>
    <w:p w:rsidR="00047FAE" w:rsidRDefault="00EF23D9">
      <w:pPr>
        <w:ind w:left="120" w:right="117"/>
        <w:jc w:val="both"/>
        <w:rPr>
          <w:rFonts w:ascii="Arial" w:eastAsia="Arial" w:hAnsi="Arial" w:cs="Arial"/>
          <w:sz w:val="24"/>
          <w:szCs w:val="24"/>
        </w:rPr>
      </w:pPr>
      <w:r w:rsidRPr="00DB2298">
        <w:rPr>
          <w:rFonts w:ascii="Arial" w:eastAsia="Arial" w:hAnsi="Arial" w:cs="Arial"/>
          <w:b/>
          <w:bCs/>
          <w:spacing w:val="1"/>
          <w:sz w:val="24"/>
          <w:szCs w:val="24"/>
        </w:rPr>
        <w:t xml:space="preserve">Nous recommandons que </w:t>
      </w:r>
      <w:r w:rsidR="007309FF">
        <w:rPr>
          <w:rFonts w:ascii="Arial" w:eastAsia="Arial" w:hAnsi="Arial" w:cs="Arial"/>
          <w:b/>
          <w:bCs/>
          <w:spacing w:val="27"/>
          <w:sz w:val="24"/>
          <w:szCs w:val="24"/>
        </w:rPr>
        <w:t xml:space="preserve"> </w:t>
      </w:r>
      <w:r w:rsidR="00DB2298" w:rsidRPr="00861850">
        <w:rPr>
          <w:rFonts w:ascii="Arial" w:eastAsia="Arial" w:hAnsi="Arial" w:cs="Arial"/>
          <w:b/>
          <w:bCs/>
          <w:sz w:val="24"/>
          <w:szCs w:val="24"/>
        </w:rPr>
        <w:t>les PCGR et les NVGR des États-Unis de même que les normes d’examen généralement reconnues par l’IFRS et l’IAASB en matière de vérification et d’examen, telles qu’adoptées par d’autres pays devraient être considérées comme des principes de préparation et de vérification ou d’examen acceptables des états financiers devant faire partie du document d’information fourni en vertu de l’article 5 (4) de la LAW</w:t>
      </w:r>
      <w:r w:rsidRPr="00861850">
        <w:rPr>
          <w:rFonts w:ascii="Arial" w:eastAsia="Arial" w:hAnsi="Arial" w:cs="Arial"/>
          <w:b/>
          <w:bCs/>
          <w:sz w:val="24"/>
          <w:szCs w:val="24"/>
        </w:rPr>
        <w:t>.</w:t>
      </w:r>
    </w:p>
    <w:p w:rsidR="00047FAE" w:rsidRDefault="00047FAE">
      <w:pPr>
        <w:spacing w:line="240" w:lineRule="exact"/>
        <w:rPr>
          <w:sz w:val="24"/>
          <w:szCs w:val="24"/>
        </w:rPr>
      </w:pPr>
    </w:p>
    <w:p w:rsidR="00047FAE" w:rsidRDefault="00EF23D9">
      <w:pPr>
        <w:pStyle w:val="BodyText"/>
        <w:ind w:right="116"/>
        <w:jc w:val="both"/>
      </w:pPr>
      <w:r w:rsidRPr="00861850">
        <w:t>Selon l’al</w:t>
      </w:r>
      <w:r w:rsidR="00861850" w:rsidRPr="00861850">
        <w:t xml:space="preserve">inéa 5 (4) </w:t>
      </w:r>
      <w:r w:rsidRPr="00861850">
        <w:t>b) de la LAW, chaque document d’information doit comprendre des états financiers, tel que prescrit.</w:t>
      </w:r>
      <w:r w:rsidR="007309FF">
        <w:rPr>
          <w:spacing w:val="30"/>
        </w:rPr>
        <w:t xml:space="preserve"> </w:t>
      </w:r>
      <w:r w:rsidR="00861850" w:rsidRPr="00392A03">
        <w:t xml:space="preserve">Les alinéas 3 (1) a) et 3 (1) </w:t>
      </w:r>
      <w:r w:rsidRPr="00392A03">
        <w:t>b)</w:t>
      </w:r>
      <w:r w:rsidR="00064C4C" w:rsidRPr="00392A03">
        <w:t xml:space="preserve"> </w:t>
      </w:r>
      <w:r w:rsidR="00F623B7" w:rsidRPr="00392A03">
        <w:t>des dispositions générales du règlement édicté en vertu de la LAW (le règlement de la LAW) exige</w:t>
      </w:r>
      <w:r w:rsidR="00861850" w:rsidRPr="00392A03">
        <w:t>nt</w:t>
      </w:r>
      <w:r w:rsidR="00F623B7" w:rsidRPr="00392A03">
        <w:t xml:space="preserve"> également que ces états financiers doivent être préparés conformément aux principes comptables généralement reconnus (PCGR) qui « équivalent au moins » aux PCGR du Canada et qu’ils soient assujettis </w:t>
      </w:r>
      <w:r w:rsidR="00F623B7" w:rsidRPr="00392A03">
        <w:rPr>
          <w:rFonts w:cs="Helvetica"/>
          <w:color w:val="222222"/>
        </w:rPr>
        <w:t>aux normes d</w:t>
      </w:r>
      <w:r w:rsidR="00204E06" w:rsidRPr="00392A03">
        <w:rPr>
          <w:rFonts w:cs="Helvetica"/>
          <w:color w:val="222222"/>
        </w:rPr>
        <w:t>e vérification ou d</w:t>
      </w:r>
      <w:r w:rsidR="00F623B7" w:rsidRPr="00392A03">
        <w:rPr>
          <w:rFonts w:cs="Helvetica"/>
          <w:color w:val="222222"/>
        </w:rPr>
        <w:t>’examen qui s’appliquent aux missions d’examen à l’aide de normes qui « équivalent au moins » aux normes canadiennes d</w:t>
      </w:r>
      <w:r w:rsidR="00204E06" w:rsidRPr="00392A03">
        <w:rPr>
          <w:rFonts w:cs="Helvetica"/>
          <w:color w:val="222222"/>
        </w:rPr>
        <w:t>e vérification ou d</w:t>
      </w:r>
      <w:r w:rsidR="00F623B7" w:rsidRPr="00392A03">
        <w:rPr>
          <w:rFonts w:cs="Helvetica"/>
          <w:color w:val="222222"/>
        </w:rPr>
        <w:t xml:space="preserve">’examen et </w:t>
      </w:r>
      <w:r w:rsidR="001F014B" w:rsidRPr="00392A03">
        <w:rPr>
          <w:rFonts w:cs="Helvetica"/>
          <w:color w:val="222222"/>
        </w:rPr>
        <w:t>aux normes de présentation de l’information</w:t>
      </w:r>
      <w:r w:rsidR="00F623B7" w:rsidRPr="00392A03">
        <w:rPr>
          <w:rFonts w:cs="Helvetica"/>
          <w:color w:val="222222"/>
        </w:rPr>
        <w:t>.</w:t>
      </w:r>
      <w:r w:rsidR="00F623B7" w:rsidRPr="00392A03">
        <w:t xml:space="preserve"> </w:t>
      </w:r>
    </w:p>
    <w:p w:rsidR="00047FAE" w:rsidRDefault="00047FAE">
      <w:pPr>
        <w:spacing w:line="240" w:lineRule="exact"/>
        <w:rPr>
          <w:sz w:val="24"/>
          <w:szCs w:val="24"/>
        </w:rPr>
      </w:pPr>
    </w:p>
    <w:p w:rsidR="00047FAE" w:rsidRDefault="007D1DE3">
      <w:pPr>
        <w:pStyle w:val="BodyText"/>
        <w:ind w:right="114"/>
        <w:jc w:val="both"/>
      </w:pPr>
      <w:r w:rsidRPr="00392A03">
        <w:rPr>
          <w:spacing w:val="2"/>
        </w:rPr>
        <w:t>L</w:t>
      </w:r>
      <w:r w:rsidR="00392A03" w:rsidRPr="00392A03">
        <w:rPr>
          <w:spacing w:val="2"/>
        </w:rPr>
        <w:t>’objectif</w:t>
      </w:r>
      <w:r w:rsidRPr="00392A03">
        <w:rPr>
          <w:spacing w:val="2"/>
        </w:rPr>
        <w:t xml:space="preserve"> de la divulgation des états financiers dont il est question ci-dessus consiste à faire en sorte que les franchisés éventuels disposent d’information récente au sujet de la santé financière du franchiseur, information préparée conformément à des principes comptables que les investisseurs canadiens peuvent comprendre ou que leurs comptables peuvent interpréter facilement, et qui a été examinée ou vérifiée de manière indépendant</w:t>
      </w:r>
      <w:r w:rsidR="00392A03" w:rsidRPr="00392A03">
        <w:rPr>
          <w:spacing w:val="2"/>
        </w:rPr>
        <w:t>e</w:t>
      </w:r>
      <w:r w:rsidRPr="00392A03">
        <w:rPr>
          <w:spacing w:val="2"/>
        </w:rPr>
        <w:t xml:space="preserve"> en vertu de normes qui sont au moins aussi rigoureuses que celles qui seraient en vigueur au </w:t>
      </w:r>
      <w:r w:rsidRPr="00392A03">
        <w:rPr>
          <w:spacing w:val="-1"/>
        </w:rPr>
        <w:t>C</w:t>
      </w:r>
      <w:r w:rsidRPr="00392A03">
        <w:rPr>
          <w:spacing w:val="-2"/>
        </w:rPr>
        <w:t>a</w:t>
      </w:r>
      <w:r w:rsidRPr="00392A03">
        <w:t>na</w:t>
      </w:r>
      <w:r w:rsidRPr="00392A03">
        <w:rPr>
          <w:spacing w:val="-2"/>
        </w:rPr>
        <w:t>d</w:t>
      </w:r>
      <w:r w:rsidRPr="00392A03">
        <w:t>a.</w:t>
      </w:r>
    </w:p>
    <w:p w:rsidR="00047FAE" w:rsidRDefault="00047FAE">
      <w:pPr>
        <w:spacing w:line="240" w:lineRule="exact"/>
        <w:rPr>
          <w:sz w:val="24"/>
          <w:szCs w:val="24"/>
        </w:rPr>
      </w:pPr>
    </w:p>
    <w:p w:rsidR="00047FAE" w:rsidRDefault="007D1DE3">
      <w:pPr>
        <w:pStyle w:val="BodyText"/>
        <w:ind w:right="116"/>
        <w:jc w:val="both"/>
      </w:pPr>
      <w:r w:rsidRPr="00392A03">
        <w:rPr>
          <w:spacing w:val="-1"/>
        </w:rPr>
        <w:t xml:space="preserve">Grand nombre des franchiseurs qui exercent leurs activités en </w:t>
      </w:r>
      <w:r w:rsidRPr="00392A03">
        <w:t>O</w:t>
      </w:r>
      <w:r w:rsidRPr="00392A03">
        <w:rPr>
          <w:spacing w:val="-2"/>
        </w:rPr>
        <w:t>n</w:t>
      </w:r>
      <w:r w:rsidRPr="00392A03">
        <w:t>ta</w:t>
      </w:r>
      <w:r w:rsidRPr="00392A03">
        <w:rPr>
          <w:spacing w:val="-4"/>
        </w:rPr>
        <w:t>r</w:t>
      </w:r>
      <w:r w:rsidRPr="00392A03">
        <w:rPr>
          <w:spacing w:val="-1"/>
        </w:rPr>
        <w:t>i</w:t>
      </w:r>
      <w:r w:rsidRPr="00392A03">
        <w:t>o ou songent à y exercer des activités sont des entités américaines.</w:t>
      </w:r>
      <w:r w:rsidR="007309FF">
        <w:t xml:space="preserve"> </w:t>
      </w:r>
      <w:r w:rsidRPr="00392A03">
        <w:t xml:space="preserve">Depuis la promulgation du règlement de la LAW, une certaine incertitude règne quant au sens de l'expression « qui équivalent au moins » et par conséquent, on ne sait pas si les états financiers préparés conformément aux PCGR </w:t>
      </w:r>
      <w:r w:rsidR="00392A03" w:rsidRPr="00392A03">
        <w:t>des États-Unis</w:t>
      </w:r>
      <w:r w:rsidRPr="00392A03">
        <w:t xml:space="preserve"> </w:t>
      </w:r>
      <w:r w:rsidR="007309FF">
        <w:rPr>
          <w:spacing w:val="20"/>
        </w:rPr>
        <w:t xml:space="preserve"> </w:t>
      </w:r>
      <w:r w:rsidRPr="00392A03">
        <w:t>et vérifiés ou examinés conformément aux normes américaines de vérification ou d’examen suffisent à répondre aux exigences de divulgation financière de la LAW.</w:t>
      </w:r>
      <w:r w:rsidR="007309FF">
        <w:rPr>
          <w:spacing w:val="58"/>
        </w:rPr>
        <w:t xml:space="preserve"> </w:t>
      </w:r>
      <w:r w:rsidRPr="00392A03">
        <w:rPr>
          <w:spacing w:val="2"/>
        </w:rPr>
        <w:t xml:space="preserve">Cette incertitude a engendré des retards et des coûts accrus </w:t>
      </w:r>
      <w:r w:rsidR="00392A03" w:rsidRPr="00392A03">
        <w:rPr>
          <w:spacing w:val="2"/>
        </w:rPr>
        <w:t>chez</w:t>
      </w:r>
      <w:r w:rsidRPr="00392A03">
        <w:rPr>
          <w:spacing w:val="2"/>
        </w:rPr>
        <w:t xml:space="preserve"> bien des franchiseurs américains, car ils sont obligés d’obtenir une opinion juridique et comptable à ce sujet et/ou de retenir les services de comptables canadiens pour </w:t>
      </w:r>
      <w:r w:rsidR="00122A39" w:rsidRPr="00392A03">
        <w:rPr>
          <w:spacing w:val="2"/>
        </w:rPr>
        <w:t>rapprocher le</w:t>
      </w:r>
      <w:r w:rsidR="00392A03" w:rsidRPr="00392A03">
        <w:rPr>
          <w:spacing w:val="2"/>
        </w:rPr>
        <w:t>ur</w:t>
      </w:r>
      <w:r w:rsidR="00122A39" w:rsidRPr="00392A03">
        <w:rPr>
          <w:spacing w:val="2"/>
        </w:rPr>
        <w:t>s déclarations en vertu des PCGR</w:t>
      </w:r>
      <w:r w:rsidR="00392A03" w:rsidRPr="00392A03">
        <w:rPr>
          <w:spacing w:val="2"/>
        </w:rPr>
        <w:t xml:space="preserve"> des États-Unis</w:t>
      </w:r>
      <w:r w:rsidR="007309FF">
        <w:rPr>
          <w:spacing w:val="66"/>
        </w:rPr>
        <w:t xml:space="preserve"> </w:t>
      </w:r>
      <w:r w:rsidR="00122A39" w:rsidRPr="00392A03">
        <w:t xml:space="preserve">aux normes de </w:t>
      </w:r>
      <w:r w:rsidR="004652F4" w:rsidRPr="00392A03">
        <w:t>présentation de l’information conformément aux PCGR canadiens (ce qui correspond maintenant soit aux Inte</w:t>
      </w:r>
      <w:r w:rsidR="004652F4" w:rsidRPr="00392A03">
        <w:rPr>
          <w:spacing w:val="-1"/>
        </w:rPr>
        <w:t>r</w:t>
      </w:r>
      <w:r w:rsidR="004652F4" w:rsidRPr="00392A03">
        <w:rPr>
          <w:spacing w:val="-2"/>
        </w:rPr>
        <w:t>n</w:t>
      </w:r>
      <w:r w:rsidR="004652F4" w:rsidRPr="00392A03">
        <w:t>at</w:t>
      </w:r>
      <w:r w:rsidR="004652F4" w:rsidRPr="00392A03">
        <w:rPr>
          <w:spacing w:val="-1"/>
        </w:rPr>
        <w:t>i</w:t>
      </w:r>
      <w:r w:rsidR="004652F4" w:rsidRPr="00392A03">
        <w:t>o</w:t>
      </w:r>
      <w:r w:rsidR="004652F4" w:rsidRPr="00392A03">
        <w:rPr>
          <w:spacing w:val="-2"/>
        </w:rPr>
        <w:t>n</w:t>
      </w:r>
      <w:r w:rsidR="004652F4" w:rsidRPr="00392A03">
        <w:t xml:space="preserve">al </w:t>
      </w:r>
      <w:r w:rsidR="004652F4" w:rsidRPr="00392A03">
        <w:rPr>
          <w:spacing w:val="-1"/>
        </w:rPr>
        <w:t>Fi</w:t>
      </w:r>
      <w:r w:rsidR="004652F4" w:rsidRPr="00392A03">
        <w:t>nanc</w:t>
      </w:r>
      <w:r w:rsidR="004652F4" w:rsidRPr="00392A03">
        <w:rPr>
          <w:spacing w:val="-1"/>
        </w:rPr>
        <w:t>i</w:t>
      </w:r>
      <w:r w:rsidR="004652F4" w:rsidRPr="00392A03">
        <w:t xml:space="preserve">al </w:t>
      </w:r>
      <w:r w:rsidR="004652F4" w:rsidRPr="00392A03">
        <w:rPr>
          <w:spacing w:val="-1"/>
        </w:rPr>
        <w:t>R</w:t>
      </w:r>
      <w:r w:rsidR="004652F4" w:rsidRPr="00392A03">
        <w:t>e</w:t>
      </w:r>
      <w:r w:rsidR="004652F4" w:rsidRPr="00392A03">
        <w:rPr>
          <w:spacing w:val="-2"/>
        </w:rPr>
        <w:t>p</w:t>
      </w:r>
      <w:r w:rsidR="004652F4" w:rsidRPr="00392A03">
        <w:t>o</w:t>
      </w:r>
      <w:r w:rsidR="004652F4" w:rsidRPr="00392A03">
        <w:rPr>
          <w:spacing w:val="-1"/>
        </w:rPr>
        <w:t>r</w:t>
      </w:r>
      <w:r w:rsidR="004652F4" w:rsidRPr="00392A03">
        <w:t>t</w:t>
      </w:r>
      <w:r w:rsidR="004652F4" w:rsidRPr="00392A03">
        <w:rPr>
          <w:spacing w:val="-1"/>
        </w:rPr>
        <w:t>i</w:t>
      </w:r>
      <w:r w:rsidR="004652F4" w:rsidRPr="00392A03">
        <w:t>ng Stan</w:t>
      </w:r>
      <w:r w:rsidR="004652F4" w:rsidRPr="00392A03">
        <w:rPr>
          <w:spacing w:val="-2"/>
        </w:rPr>
        <w:t>d</w:t>
      </w:r>
      <w:r w:rsidR="004652F4" w:rsidRPr="00392A03">
        <w:t>a</w:t>
      </w:r>
      <w:r w:rsidR="004652F4" w:rsidRPr="00392A03">
        <w:rPr>
          <w:spacing w:val="-1"/>
        </w:rPr>
        <w:t>r</w:t>
      </w:r>
      <w:r w:rsidR="004652F4" w:rsidRPr="00392A03">
        <w:t xml:space="preserve">ds </w:t>
      </w:r>
      <w:r w:rsidR="004652F4" w:rsidRPr="00392A03">
        <w:rPr>
          <w:spacing w:val="-1"/>
        </w:rPr>
        <w:t>(</w:t>
      </w:r>
      <w:r w:rsidR="004652F4" w:rsidRPr="00392A03">
        <w:t>I</w:t>
      </w:r>
      <w:r w:rsidR="004652F4" w:rsidRPr="00392A03">
        <w:rPr>
          <w:spacing w:val="-1"/>
        </w:rPr>
        <w:t>FR</w:t>
      </w:r>
      <w:r w:rsidR="004652F4" w:rsidRPr="00392A03">
        <w:t>S) ou aux Account</w:t>
      </w:r>
      <w:r w:rsidR="004652F4" w:rsidRPr="00392A03">
        <w:rPr>
          <w:spacing w:val="-3"/>
        </w:rPr>
        <w:t>i</w:t>
      </w:r>
      <w:r w:rsidR="004652F4" w:rsidRPr="00392A03">
        <w:t>ng Stan</w:t>
      </w:r>
      <w:r w:rsidR="004652F4" w:rsidRPr="00392A03">
        <w:rPr>
          <w:spacing w:val="-2"/>
        </w:rPr>
        <w:t>d</w:t>
      </w:r>
      <w:r w:rsidR="004652F4" w:rsidRPr="00392A03">
        <w:t>a</w:t>
      </w:r>
      <w:r w:rsidR="004652F4" w:rsidRPr="00392A03">
        <w:rPr>
          <w:spacing w:val="-1"/>
        </w:rPr>
        <w:t>r</w:t>
      </w:r>
      <w:r w:rsidR="004652F4" w:rsidRPr="00392A03">
        <w:t>ds for P</w:t>
      </w:r>
      <w:r w:rsidR="004652F4" w:rsidRPr="00392A03">
        <w:rPr>
          <w:spacing w:val="-1"/>
        </w:rPr>
        <w:t>r</w:t>
      </w:r>
      <w:r w:rsidR="004652F4" w:rsidRPr="00392A03">
        <w:rPr>
          <w:spacing w:val="1"/>
        </w:rPr>
        <w:t>i</w:t>
      </w:r>
      <w:r w:rsidR="004652F4" w:rsidRPr="00392A03">
        <w:rPr>
          <w:spacing w:val="-3"/>
        </w:rPr>
        <w:t>v</w:t>
      </w:r>
      <w:r w:rsidR="004652F4" w:rsidRPr="00392A03">
        <w:t>ate En</w:t>
      </w:r>
      <w:r w:rsidR="004652F4" w:rsidRPr="00392A03">
        <w:rPr>
          <w:spacing w:val="-2"/>
        </w:rPr>
        <w:t>t</w:t>
      </w:r>
      <w:r w:rsidR="004652F4" w:rsidRPr="00392A03">
        <w:t>e</w:t>
      </w:r>
      <w:r w:rsidR="004652F4" w:rsidRPr="00392A03">
        <w:rPr>
          <w:spacing w:val="-1"/>
        </w:rPr>
        <w:t>r</w:t>
      </w:r>
      <w:r w:rsidR="004652F4" w:rsidRPr="00392A03">
        <w:t>p</w:t>
      </w:r>
      <w:r w:rsidR="004652F4" w:rsidRPr="00392A03">
        <w:rPr>
          <w:spacing w:val="-1"/>
        </w:rPr>
        <w:t>ri</w:t>
      </w:r>
      <w:r w:rsidR="004652F4" w:rsidRPr="00392A03">
        <w:t>s</w:t>
      </w:r>
      <w:r w:rsidR="004652F4" w:rsidRPr="00392A03">
        <w:rPr>
          <w:spacing w:val="-2"/>
        </w:rPr>
        <w:t>e</w:t>
      </w:r>
      <w:r w:rsidR="004652F4" w:rsidRPr="00392A03">
        <w:t xml:space="preserve">s </w:t>
      </w:r>
      <w:r w:rsidR="004652F4" w:rsidRPr="00392A03">
        <w:rPr>
          <w:spacing w:val="-1"/>
        </w:rPr>
        <w:t>(</w:t>
      </w:r>
      <w:r w:rsidR="004652F4" w:rsidRPr="00392A03">
        <w:t>ASPE</w:t>
      </w:r>
      <w:r w:rsidR="004652F4" w:rsidRPr="00392A03">
        <w:rPr>
          <w:spacing w:val="-1"/>
        </w:rPr>
        <w:t>)).</w:t>
      </w:r>
    </w:p>
    <w:p w:rsidR="00047FAE" w:rsidRDefault="00047FAE">
      <w:pPr>
        <w:spacing w:line="240" w:lineRule="exact"/>
        <w:rPr>
          <w:sz w:val="24"/>
          <w:szCs w:val="24"/>
        </w:rPr>
      </w:pPr>
    </w:p>
    <w:p w:rsidR="00047FAE" w:rsidRDefault="004652F4">
      <w:pPr>
        <w:pStyle w:val="BodyText"/>
        <w:ind w:right="118"/>
        <w:jc w:val="both"/>
      </w:pPr>
      <w:r w:rsidRPr="00392A03">
        <w:t xml:space="preserve">De manière générale, l’on comprend et accepte que la raison d’être principale de la LAW consiste </w:t>
      </w:r>
      <w:r w:rsidR="00523213" w:rsidRPr="00392A03">
        <w:t xml:space="preserve">à faire en sorte </w:t>
      </w:r>
      <w:r w:rsidRPr="00392A03">
        <w:t>que les franchisés</w:t>
      </w:r>
      <w:r w:rsidR="00523213" w:rsidRPr="00392A03">
        <w:t xml:space="preserve"> éventuels de l’</w:t>
      </w:r>
      <w:r w:rsidR="00523213" w:rsidRPr="00392A03">
        <w:rPr>
          <w:spacing w:val="-2"/>
        </w:rPr>
        <w:t>O</w:t>
      </w:r>
      <w:r w:rsidR="00523213" w:rsidRPr="00392A03">
        <w:t>nta</w:t>
      </w:r>
      <w:r w:rsidR="00523213" w:rsidRPr="00392A03">
        <w:rPr>
          <w:spacing w:val="-1"/>
        </w:rPr>
        <w:t>ri</w:t>
      </w:r>
      <w:r w:rsidR="00523213" w:rsidRPr="00392A03">
        <w:t>o disposent d’</w:t>
      </w:r>
      <w:r w:rsidR="00523213" w:rsidRPr="00392A03">
        <w:rPr>
          <w:spacing w:val="-1"/>
        </w:rPr>
        <w:t>i</w:t>
      </w:r>
      <w:r w:rsidR="00523213" w:rsidRPr="00392A03">
        <w:rPr>
          <w:spacing w:val="-2"/>
        </w:rPr>
        <w:t>n</w:t>
      </w:r>
      <w:r w:rsidR="00523213" w:rsidRPr="00392A03">
        <w:t>fo</w:t>
      </w:r>
      <w:r w:rsidR="00523213" w:rsidRPr="00392A03">
        <w:rPr>
          <w:spacing w:val="-1"/>
        </w:rPr>
        <w:t>rm</w:t>
      </w:r>
      <w:r w:rsidR="00523213" w:rsidRPr="00392A03">
        <w:t>at</w:t>
      </w:r>
      <w:r w:rsidR="00523213" w:rsidRPr="00392A03">
        <w:rPr>
          <w:spacing w:val="-1"/>
        </w:rPr>
        <w:t>i</w:t>
      </w:r>
      <w:r w:rsidR="00523213" w:rsidRPr="00392A03">
        <w:t xml:space="preserve">on suffisante pour leur permettre de prendre une décision entièrement </w:t>
      </w:r>
      <w:r w:rsidR="00523213" w:rsidRPr="00392A03">
        <w:lastRenderedPageBreak/>
        <w:t>éclairée quand vient le</w:t>
      </w:r>
      <w:r w:rsidRPr="00392A03">
        <w:t xml:space="preserve"> </w:t>
      </w:r>
      <w:r w:rsidR="00523213" w:rsidRPr="00392A03">
        <w:t xml:space="preserve">temps de faire l’acquisition d’une </w:t>
      </w:r>
      <w:r w:rsidR="00523213" w:rsidRPr="00392A03">
        <w:rPr>
          <w:spacing w:val="-1"/>
        </w:rPr>
        <w:t>franchise donnée en fonction des modalités énoncées.</w:t>
      </w:r>
      <w:r w:rsidR="007309FF">
        <w:rPr>
          <w:spacing w:val="43"/>
        </w:rPr>
        <w:t xml:space="preserve"> </w:t>
      </w:r>
      <w:r w:rsidR="00523213" w:rsidRPr="00392A03">
        <w:rPr>
          <w:spacing w:val="-2"/>
        </w:rPr>
        <w:t>Tant l’Association du Barreau de l’O</w:t>
      </w:r>
      <w:r w:rsidR="00523213" w:rsidRPr="00392A03">
        <w:t>nta</w:t>
      </w:r>
      <w:r w:rsidR="00523213" w:rsidRPr="00392A03">
        <w:rPr>
          <w:spacing w:val="-1"/>
        </w:rPr>
        <w:t>ri</w:t>
      </w:r>
      <w:r w:rsidR="00523213" w:rsidRPr="00392A03">
        <w:t xml:space="preserve">o </w:t>
      </w:r>
      <w:r w:rsidR="00523213" w:rsidRPr="00392A03">
        <w:rPr>
          <w:spacing w:val="-2"/>
        </w:rPr>
        <w:t xml:space="preserve">que le Conseil </w:t>
      </w:r>
      <w:r w:rsidR="00602279" w:rsidRPr="00392A03">
        <w:rPr>
          <w:spacing w:val="-2"/>
        </w:rPr>
        <w:t xml:space="preserve">sont d’avis que la présentation d’états financiers préparés conformément aux PCGR </w:t>
      </w:r>
      <w:r w:rsidR="00392A03" w:rsidRPr="00392A03">
        <w:rPr>
          <w:spacing w:val="-2"/>
        </w:rPr>
        <w:t>des États-Unis</w:t>
      </w:r>
      <w:r w:rsidR="00602279" w:rsidRPr="00392A03">
        <w:rPr>
          <w:spacing w:val="-2"/>
        </w:rPr>
        <w:t xml:space="preserve"> et vérifiés ou examinés</w:t>
      </w:r>
      <w:r w:rsidR="007309FF">
        <w:rPr>
          <w:spacing w:val="15"/>
        </w:rPr>
        <w:t xml:space="preserve"> </w:t>
      </w:r>
      <w:r w:rsidR="00602279" w:rsidRPr="00A567F6">
        <w:t xml:space="preserve">conformément aux normes </w:t>
      </w:r>
      <w:r w:rsidR="00392A03" w:rsidRPr="00A567F6">
        <w:t xml:space="preserve">américaines de vérification ou </w:t>
      </w:r>
      <w:r w:rsidR="00602279" w:rsidRPr="00A567F6">
        <w:t>d’</w:t>
      </w:r>
      <w:r w:rsidR="00392A03" w:rsidRPr="00A567F6">
        <w:t>examen généralement reconnues</w:t>
      </w:r>
      <w:r w:rsidR="00602279" w:rsidRPr="00A567F6">
        <w:t xml:space="preserve"> permettraient d’atteindre cet objectif.</w:t>
      </w:r>
      <w:r w:rsidR="007309FF">
        <w:rPr>
          <w:spacing w:val="51"/>
        </w:rPr>
        <w:t xml:space="preserve"> </w:t>
      </w:r>
      <w:r w:rsidR="00602279" w:rsidRPr="003143DF">
        <w:t>Par conséquent</w:t>
      </w:r>
      <w:r w:rsidR="00A567F6" w:rsidRPr="003143DF">
        <w:t>,</w:t>
      </w:r>
      <w:r w:rsidR="00602279" w:rsidRPr="003143DF">
        <w:t xml:space="preserve"> le Conseil recommande que la présentation desdits états financiers soit reconnue expressément comme conforme à l’exigence de divulgation des états financiers de la LAW, et que le règlement de la LAW soit modifié en conséquence.</w:t>
      </w:r>
    </w:p>
    <w:p w:rsidR="00047FAE" w:rsidRDefault="00047FAE">
      <w:pPr>
        <w:spacing w:line="240" w:lineRule="exact"/>
        <w:rPr>
          <w:sz w:val="24"/>
          <w:szCs w:val="24"/>
        </w:rPr>
      </w:pPr>
    </w:p>
    <w:p w:rsidR="00047FAE" w:rsidRDefault="00602279" w:rsidP="0016630D">
      <w:pPr>
        <w:pStyle w:val="BodyText"/>
        <w:ind w:right="115"/>
        <w:jc w:val="both"/>
      </w:pPr>
      <w:r w:rsidRPr="00F3396F">
        <w:rPr>
          <w:spacing w:val="-1"/>
        </w:rPr>
        <w:t xml:space="preserve">De plus, nous remarquons que des enjeux et des arguments semblables </w:t>
      </w:r>
      <w:r w:rsidR="0038140F" w:rsidRPr="00F3396F">
        <w:rPr>
          <w:spacing w:val="-1"/>
        </w:rPr>
        <w:t xml:space="preserve">existent dans le cas des </w:t>
      </w:r>
      <w:r w:rsidR="003143DF" w:rsidRPr="00F3396F">
        <w:rPr>
          <w:spacing w:val="-1"/>
        </w:rPr>
        <w:t xml:space="preserve">franchiseurs </w:t>
      </w:r>
      <w:r w:rsidR="0038140F" w:rsidRPr="00F3396F">
        <w:rPr>
          <w:spacing w:val="-1"/>
        </w:rPr>
        <w:t>d’autres pays qui ont, à l’insta</w:t>
      </w:r>
      <w:r w:rsidR="0016630D" w:rsidRPr="00F3396F">
        <w:rPr>
          <w:spacing w:val="-1"/>
        </w:rPr>
        <w:t>r</w:t>
      </w:r>
      <w:r w:rsidR="0038140F" w:rsidRPr="00F3396F">
        <w:rPr>
          <w:spacing w:val="-1"/>
        </w:rPr>
        <w:t xml:space="preserve"> du Canada</w:t>
      </w:r>
      <w:r w:rsidR="0016630D" w:rsidRPr="00F3396F">
        <w:rPr>
          <w:spacing w:val="-1"/>
        </w:rPr>
        <w:t>,</w:t>
      </w:r>
      <w:r w:rsidR="0038140F" w:rsidRPr="00F3396F">
        <w:rPr>
          <w:spacing w:val="-1"/>
        </w:rPr>
        <w:t xml:space="preserve"> adopté les </w:t>
      </w:r>
      <w:r w:rsidR="0038140F" w:rsidRPr="00F3396F">
        <w:rPr>
          <w:spacing w:val="-2"/>
        </w:rPr>
        <w:t>I</w:t>
      </w:r>
      <w:r w:rsidR="0038140F" w:rsidRPr="00F3396F">
        <w:rPr>
          <w:spacing w:val="-1"/>
        </w:rPr>
        <w:t>FR</w:t>
      </w:r>
      <w:r w:rsidR="0038140F" w:rsidRPr="00F3396F">
        <w:t>S</w:t>
      </w:r>
      <w:r w:rsidR="0016630D" w:rsidRPr="00F3396F">
        <w:t xml:space="preserve"> (tout au moins en partie) comme PCGR locaux</w:t>
      </w:r>
      <w:r w:rsidR="004F7AB8">
        <w:rPr>
          <w:spacing w:val="-2"/>
        </w:rPr>
        <w:t xml:space="preserve"> e</w:t>
      </w:r>
      <w:r w:rsidR="00004932" w:rsidRPr="00F3396F">
        <w:rPr>
          <w:spacing w:val="-2"/>
        </w:rPr>
        <w:t>t on</w:t>
      </w:r>
      <w:r w:rsidR="00F3396F" w:rsidRPr="00F3396F">
        <w:rPr>
          <w:spacing w:val="-2"/>
        </w:rPr>
        <w:t>t</w:t>
      </w:r>
      <w:r w:rsidR="00004932" w:rsidRPr="00F3396F">
        <w:rPr>
          <w:spacing w:val="-2"/>
        </w:rPr>
        <w:t xml:space="preserve"> adopté les normes de vérification généralement reconnues (NVGR) et les normes d’examen généralement reconnues énoncées par l’</w:t>
      </w:r>
      <w:r w:rsidR="00004932" w:rsidRPr="00F3396F">
        <w:t>Inte</w:t>
      </w:r>
      <w:r w:rsidR="00004932" w:rsidRPr="00F3396F">
        <w:rPr>
          <w:spacing w:val="-1"/>
        </w:rPr>
        <w:t>r</w:t>
      </w:r>
      <w:r w:rsidR="00004932" w:rsidRPr="00F3396F">
        <w:t>n</w:t>
      </w:r>
      <w:r w:rsidR="00004932" w:rsidRPr="00F3396F">
        <w:rPr>
          <w:spacing w:val="-2"/>
        </w:rPr>
        <w:t>a</w:t>
      </w:r>
      <w:r w:rsidR="00004932" w:rsidRPr="00F3396F">
        <w:t>t</w:t>
      </w:r>
      <w:r w:rsidR="00004932" w:rsidRPr="00F3396F">
        <w:rPr>
          <w:spacing w:val="-1"/>
        </w:rPr>
        <w:t>i</w:t>
      </w:r>
      <w:r w:rsidR="00004932" w:rsidRPr="00F3396F">
        <w:t>o</w:t>
      </w:r>
      <w:r w:rsidR="00004932" w:rsidRPr="00F3396F">
        <w:rPr>
          <w:spacing w:val="-2"/>
        </w:rPr>
        <w:t>n</w:t>
      </w:r>
      <w:r w:rsidR="00004932" w:rsidRPr="00F3396F">
        <w:t>al</w:t>
      </w:r>
      <w:r w:rsidR="00004932" w:rsidRPr="00F3396F">
        <w:rPr>
          <w:spacing w:val="7"/>
        </w:rPr>
        <w:t xml:space="preserve"> </w:t>
      </w:r>
      <w:r w:rsidR="00004932" w:rsidRPr="00F3396F">
        <w:t>A</w:t>
      </w:r>
      <w:r w:rsidR="00004932" w:rsidRPr="00F3396F">
        <w:rPr>
          <w:spacing w:val="-2"/>
        </w:rPr>
        <w:t>u</w:t>
      </w:r>
      <w:r w:rsidR="00004932" w:rsidRPr="00F3396F">
        <w:t>d</w:t>
      </w:r>
      <w:r w:rsidR="00004932" w:rsidRPr="00F3396F">
        <w:rPr>
          <w:spacing w:val="-1"/>
        </w:rPr>
        <w:t>i</w:t>
      </w:r>
      <w:r w:rsidR="00004932" w:rsidRPr="00F3396F">
        <w:t>t</w:t>
      </w:r>
      <w:r w:rsidR="00004932" w:rsidRPr="00F3396F">
        <w:rPr>
          <w:spacing w:val="-1"/>
        </w:rPr>
        <w:t>i</w:t>
      </w:r>
      <w:r w:rsidR="00004932" w:rsidRPr="00F3396F">
        <w:t>ng</w:t>
      </w:r>
      <w:r w:rsidR="00004932" w:rsidRPr="00F3396F">
        <w:rPr>
          <w:spacing w:val="6"/>
        </w:rPr>
        <w:t xml:space="preserve"> </w:t>
      </w:r>
      <w:r w:rsidR="00004932" w:rsidRPr="00F3396F">
        <w:t>and</w:t>
      </w:r>
      <w:r w:rsidR="00004932" w:rsidRPr="00F3396F">
        <w:rPr>
          <w:spacing w:val="8"/>
        </w:rPr>
        <w:t xml:space="preserve"> </w:t>
      </w:r>
      <w:r w:rsidR="00004932" w:rsidRPr="00F3396F">
        <w:t>Assu</w:t>
      </w:r>
      <w:r w:rsidR="00004932" w:rsidRPr="00F3396F">
        <w:rPr>
          <w:spacing w:val="-1"/>
        </w:rPr>
        <w:t>r</w:t>
      </w:r>
      <w:r w:rsidR="00004932" w:rsidRPr="00F3396F">
        <w:rPr>
          <w:spacing w:val="-2"/>
        </w:rPr>
        <w:t>a</w:t>
      </w:r>
      <w:r w:rsidR="00004932" w:rsidRPr="00F3396F">
        <w:t>nce</w:t>
      </w:r>
      <w:r w:rsidR="00004932" w:rsidRPr="00F3396F">
        <w:rPr>
          <w:spacing w:val="6"/>
        </w:rPr>
        <w:t xml:space="preserve"> </w:t>
      </w:r>
      <w:r w:rsidR="00004932" w:rsidRPr="00F3396F">
        <w:t>Sta</w:t>
      </w:r>
      <w:r w:rsidR="00004932" w:rsidRPr="00F3396F">
        <w:rPr>
          <w:spacing w:val="-2"/>
        </w:rPr>
        <w:t>n</w:t>
      </w:r>
      <w:r w:rsidR="00004932" w:rsidRPr="00F3396F">
        <w:t>da</w:t>
      </w:r>
      <w:r w:rsidR="00004932" w:rsidRPr="00F3396F">
        <w:rPr>
          <w:spacing w:val="-1"/>
        </w:rPr>
        <w:t>r</w:t>
      </w:r>
      <w:r w:rsidR="00004932" w:rsidRPr="00F3396F">
        <w:t>ds</w:t>
      </w:r>
      <w:r w:rsidR="00004932" w:rsidRPr="00F3396F">
        <w:rPr>
          <w:spacing w:val="7"/>
        </w:rPr>
        <w:t xml:space="preserve"> </w:t>
      </w:r>
      <w:r w:rsidR="00004932" w:rsidRPr="00F3396F">
        <w:t>B</w:t>
      </w:r>
      <w:r w:rsidR="00004932" w:rsidRPr="00F3396F">
        <w:rPr>
          <w:spacing w:val="-2"/>
        </w:rPr>
        <w:t>o</w:t>
      </w:r>
      <w:r w:rsidR="00004932" w:rsidRPr="00F3396F">
        <w:t>a</w:t>
      </w:r>
      <w:r w:rsidR="00004932" w:rsidRPr="00F3396F">
        <w:rPr>
          <w:spacing w:val="-1"/>
        </w:rPr>
        <w:t>r</w:t>
      </w:r>
      <w:r w:rsidR="00004932" w:rsidRPr="00F3396F">
        <w:t>d</w:t>
      </w:r>
      <w:r w:rsidR="00004932" w:rsidRPr="00F3396F">
        <w:rPr>
          <w:spacing w:val="8"/>
        </w:rPr>
        <w:t xml:space="preserve"> </w:t>
      </w:r>
      <w:r w:rsidR="00004932" w:rsidRPr="00F3396F">
        <w:rPr>
          <w:spacing w:val="-1"/>
        </w:rPr>
        <w:t>(l’</w:t>
      </w:r>
      <w:r w:rsidR="00004932" w:rsidRPr="00F3396F">
        <w:rPr>
          <w:spacing w:val="-2"/>
        </w:rPr>
        <w:t>I</w:t>
      </w:r>
      <w:r w:rsidR="00004932" w:rsidRPr="00F3396F">
        <w:t>AASB)</w:t>
      </w:r>
      <w:r w:rsidR="00004932" w:rsidRPr="00F3396F">
        <w:rPr>
          <w:spacing w:val="6"/>
        </w:rPr>
        <w:t xml:space="preserve"> comme NVGR et comme normes d’examen locales</w:t>
      </w:r>
      <w:r w:rsidR="00004932" w:rsidRPr="00F3396F">
        <w:t>.</w:t>
      </w:r>
      <w:r w:rsidR="007309FF">
        <w:rPr>
          <w:spacing w:val="9"/>
        </w:rPr>
        <w:t xml:space="preserve"> </w:t>
      </w:r>
      <w:r w:rsidR="00004932" w:rsidRPr="007A651F">
        <w:t>En effet l’objectif de divulgation susmentionné pourrait être atteint si l’on considérait que les PCGR, les NVGR et les normes d’examen de tels pays « équivalent au moins » aux PCGR, aux NVGR et aux normes d'examen généralement reconnues du Canada, aussi, et le Conseil recommande que le règlement de la LAW soit également modifié dans ce sens.</w:t>
      </w:r>
    </w:p>
    <w:p w:rsidR="00047FAE" w:rsidRDefault="00047FAE">
      <w:pPr>
        <w:spacing w:line="240" w:lineRule="exact"/>
        <w:rPr>
          <w:sz w:val="24"/>
          <w:szCs w:val="24"/>
        </w:rPr>
      </w:pPr>
    </w:p>
    <w:p w:rsidR="00047FAE" w:rsidRDefault="00004932">
      <w:pPr>
        <w:pStyle w:val="BodyText"/>
        <w:ind w:right="117"/>
        <w:jc w:val="both"/>
      </w:pPr>
      <w:r w:rsidRPr="007A651F">
        <w:t>Fait intéressant, le gouvernement de la Colombie-B</w:t>
      </w:r>
      <w:r w:rsidR="007A651F" w:rsidRPr="007A651F">
        <w:t>ritannique a annoncé qu’il adopte</w:t>
      </w:r>
      <w:r w:rsidRPr="007A651F">
        <w:t xml:space="preserve"> une </w:t>
      </w:r>
      <w:r w:rsidR="007A651F" w:rsidRPr="007A651F">
        <w:t xml:space="preserve">telle </w:t>
      </w:r>
      <w:r w:rsidRPr="007A651F">
        <w:t>approche</w:t>
      </w:r>
      <w:r w:rsidR="009D7BB6" w:rsidRPr="007A651F">
        <w:t xml:space="preserve"> dans les règlements publiés récemment en vertu de sa propre </w:t>
      </w:r>
      <w:r w:rsidR="0011445B" w:rsidRPr="007A651F">
        <w:t>loi sur le franchisage (</w:t>
      </w:r>
      <w:r w:rsidR="0011445B" w:rsidRPr="007A651F">
        <w:rPr>
          <w:i/>
        </w:rPr>
        <w:t>Franchises Act)</w:t>
      </w:r>
      <w:r w:rsidR="0011445B" w:rsidRPr="007A651F">
        <w:t>.</w:t>
      </w:r>
      <w:r w:rsidR="007309FF">
        <w:t xml:space="preserve"> </w:t>
      </w:r>
      <w:r w:rsidR="0011445B" w:rsidRPr="0091492D">
        <w:t>Plus précisément, en vertu des nouveaux règlements de la Colombie-Britannique, les franchiseurs auront la permission de joindre à leurs documents d’information les états financiers préparés conformément aux PCGR de leur propre ressort, pourvu que les états aient été vérifiés soit conformément aux NVGR du Canada ou aux NVGR de l’IA</w:t>
      </w:r>
      <w:r w:rsidR="0011445B" w:rsidRPr="0091492D">
        <w:rPr>
          <w:spacing w:val="-2"/>
        </w:rPr>
        <w:t>A</w:t>
      </w:r>
      <w:r w:rsidR="0011445B" w:rsidRPr="0091492D">
        <w:t>SB, soit examinés conformément aux normes d'examen généralement reconnues au Canada ou aux normes établies par l'IA</w:t>
      </w:r>
      <w:r w:rsidR="0011445B" w:rsidRPr="0091492D">
        <w:rPr>
          <w:spacing w:val="-2"/>
        </w:rPr>
        <w:t>A</w:t>
      </w:r>
      <w:r w:rsidR="0011445B" w:rsidRPr="0091492D">
        <w:t xml:space="preserve">SB. </w:t>
      </w:r>
      <w:r w:rsidR="007309FF">
        <w:t xml:space="preserve"> </w:t>
      </w:r>
      <w:r w:rsidR="0011445B" w:rsidRPr="0091492D">
        <w:rPr>
          <w:spacing w:val="2"/>
        </w:rPr>
        <w:t>Pour l’instant, le Conseil ne recommande pas au gouvernement de l’</w:t>
      </w:r>
      <w:r w:rsidR="0011445B" w:rsidRPr="0091492D">
        <w:rPr>
          <w:spacing w:val="-2"/>
        </w:rPr>
        <w:t>O</w:t>
      </w:r>
      <w:r w:rsidR="0011445B" w:rsidRPr="0091492D">
        <w:t>nta</w:t>
      </w:r>
      <w:r w:rsidR="0011445B" w:rsidRPr="0091492D">
        <w:rPr>
          <w:spacing w:val="-1"/>
        </w:rPr>
        <w:t>ri</w:t>
      </w:r>
      <w:r w:rsidR="0011445B" w:rsidRPr="0091492D">
        <w:t xml:space="preserve">o de permettre aux franchiseurs étrangers de </w:t>
      </w:r>
      <w:r w:rsidR="0091492D" w:rsidRPr="0091492D">
        <w:t>fournir</w:t>
      </w:r>
      <w:r w:rsidR="0011445B" w:rsidRPr="0091492D">
        <w:t xml:space="preserve"> des états financiers conformément </w:t>
      </w:r>
      <w:r w:rsidR="0091492D" w:rsidRPr="0091492D">
        <w:t>aux</w:t>
      </w:r>
      <w:r w:rsidR="0011445B" w:rsidRPr="0091492D">
        <w:t xml:space="preserve"> PCGR </w:t>
      </w:r>
      <w:r w:rsidR="0091492D" w:rsidRPr="0091492D">
        <w:t>de leur région</w:t>
      </w:r>
      <w:r w:rsidR="0011445B" w:rsidRPr="0091492D">
        <w:t xml:space="preserve">, à moins que ces PCGN soient ceux </w:t>
      </w:r>
      <w:r w:rsidR="0091492D" w:rsidRPr="0091492D">
        <w:t>préconisés par</w:t>
      </w:r>
      <w:r w:rsidR="0011445B" w:rsidRPr="0091492D">
        <w:t xml:space="preserve"> l’I</w:t>
      </w:r>
      <w:r w:rsidR="0011445B" w:rsidRPr="0091492D">
        <w:rPr>
          <w:spacing w:val="-1"/>
        </w:rPr>
        <w:t>FR</w:t>
      </w:r>
      <w:r w:rsidR="0011445B" w:rsidRPr="0091492D">
        <w:t xml:space="preserve">S ou </w:t>
      </w:r>
      <w:r w:rsidR="0091492D" w:rsidRPr="0091492D">
        <w:t xml:space="preserve">soient </w:t>
      </w:r>
      <w:r w:rsidR="0011445B" w:rsidRPr="0091492D">
        <w:t>les</w:t>
      </w:r>
      <w:r w:rsidR="007309FF">
        <w:rPr>
          <w:spacing w:val="32"/>
        </w:rPr>
        <w:t xml:space="preserve"> </w:t>
      </w:r>
      <w:r w:rsidR="0011445B" w:rsidRPr="0091492D">
        <w:rPr>
          <w:spacing w:val="-2"/>
        </w:rPr>
        <w:t xml:space="preserve">PCGR </w:t>
      </w:r>
      <w:r w:rsidR="0091492D" w:rsidRPr="0091492D">
        <w:rPr>
          <w:spacing w:val="-2"/>
        </w:rPr>
        <w:t>des États-Uni</w:t>
      </w:r>
      <w:r w:rsidR="0011445B" w:rsidRPr="0091492D">
        <w:rPr>
          <w:spacing w:val="-2"/>
        </w:rPr>
        <w:t>s.</w:t>
      </w:r>
      <w:r w:rsidR="007309FF">
        <w:rPr>
          <w:spacing w:val="65"/>
        </w:rPr>
        <w:t xml:space="preserve"> </w:t>
      </w:r>
      <w:r w:rsidR="0011445B" w:rsidRPr="0091492D">
        <w:t>Les PCGR de l’I</w:t>
      </w:r>
      <w:r w:rsidR="0011445B" w:rsidRPr="0091492D">
        <w:rPr>
          <w:spacing w:val="-1"/>
        </w:rPr>
        <w:t>FR</w:t>
      </w:r>
      <w:r w:rsidR="0011445B" w:rsidRPr="0091492D">
        <w:t xml:space="preserve">S et des États-Unis </w:t>
      </w:r>
      <w:r w:rsidR="007309FF">
        <w:rPr>
          <w:spacing w:val="32"/>
        </w:rPr>
        <w:t xml:space="preserve"> </w:t>
      </w:r>
      <w:r w:rsidR="0011445B" w:rsidRPr="0091492D">
        <w:t>sont suffisamment bien connus et compris des comptables canadiens pour que les franchisés puissent facilement obtenir des conseils financiers au sujet des états financiers préparés conformément à l’un ou l’autre de ces ensembles de principes comptables.</w:t>
      </w:r>
      <w:r w:rsidR="007309FF">
        <w:rPr>
          <w:spacing w:val="61"/>
        </w:rPr>
        <w:t xml:space="preserve"> </w:t>
      </w:r>
      <w:r w:rsidR="0011445B" w:rsidRPr="003D6731">
        <w:rPr>
          <w:spacing w:val="-1"/>
        </w:rPr>
        <w:t xml:space="preserve">Cela n’est peut-être pas </w:t>
      </w:r>
      <w:r w:rsidR="0091492D" w:rsidRPr="003D6731">
        <w:rPr>
          <w:spacing w:val="-1"/>
        </w:rPr>
        <w:t xml:space="preserve">le cas </w:t>
      </w:r>
      <w:r w:rsidR="0011445B" w:rsidRPr="003D6731">
        <w:rPr>
          <w:spacing w:val="-1"/>
        </w:rPr>
        <w:t>des variantes locales des</w:t>
      </w:r>
      <w:r w:rsidR="00762715" w:rsidRPr="003D6731">
        <w:rPr>
          <w:spacing w:val="-1"/>
        </w:rPr>
        <w:t xml:space="preserve"> PCGR.</w:t>
      </w:r>
    </w:p>
    <w:p w:rsidR="00047FAE" w:rsidRDefault="00047FAE">
      <w:pPr>
        <w:spacing w:line="240" w:lineRule="exact"/>
        <w:rPr>
          <w:sz w:val="24"/>
          <w:szCs w:val="24"/>
        </w:rPr>
      </w:pPr>
    </w:p>
    <w:p w:rsidR="00047FAE" w:rsidRPr="003D6731" w:rsidRDefault="00762715" w:rsidP="00DF064B">
      <w:pPr>
        <w:numPr>
          <w:ilvl w:val="0"/>
          <w:numId w:val="26"/>
        </w:numPr>
        <w:tabs>
          <w:tab w:val="left" w:pos="840"/>
        </w:tabs>
        <w:ind w:left="840" w:right="1803"/>
        <w:jc w:val="both"/>
        <w:rPr>
          <w:rFonts w:ascii="Arial" w:eastAsia="Arial" w:hAnsi="Arial" w:cs="Arial"/>
          <w:sz w:val="24"/>
          <w:szCs w:val="24"/>
        </w:rPr>
      </w:pPr>
      <w:bookmarkStart w:id="56" w:name="11._Statement_of_Material_Change_in_the_"/>
      <w:bookmarkEnd w:id="56"/>
      <w:r w:rsidRPr="003D6731">
        <w:rPr>
          <w:rFonts w:ascii="Arial" w:eastAsia="Arial" w:hAnsi="Arial" w:cs="Arial"/>
          <w:b/>
          <w:bCs/>
          <w:sz w:val="24"/>
          <w:szCs w:val="24"/>
        </w:rPr>
        <w:t xml:space="preserve">Déclaration </w:t>
      </w:r>
      <w:r w:rsidR="005E1E64">
        <w:rPr>
          <w:rFonts w:ascii="Arial" w:eastAsia="Arial" w:hAnsi="Arial" w:cs="Arial"/>
          <w:b/>
          <w:bCs/>
          <w:sz w:val="24"/>
          <w:szCs w:val="24"/>
        </w:rPr>
        <w:t>de</w:t>
      </w:r>
      <w:r w:rsidRPr="003D6731">
        <w:rPr>
          <w:rFonts w:ascii="Arial" w:eastAsia="Arial" w:hAnsi="Arial" w:cs="Arial"/>
          <w:b/>
          <w:bCs/>
          <w:sz w:val="24"/>
          <w:szCs w:val="24"/>
        </w:rPr>
        <w:t xml:space="preserve"> </w:t>
      </w:r>
      <w:r w:rsidR="00B11C6F" w:rsidRPr="003D6731">
        <w:rPr>
          <w:rFonts w:ascii="Arial" w:eastAsia="Arial" w:hAnsi="Arial" w:cs="Arial"/>
          <w:b/>
          <w:bCs/>
          <w:sz w:val="24"/>
          <w:szCs w:val="24"/>
        </w:rPr>
        <w:t>changement important en vertu de la LAW</w:t>
      </w:r>
    </w:p>
    <w:p w:rsidR="00047FAE" w:rsidRDefault="00047FAE">
      <w:pPr>
        <w:spacing w:line="240" w:lineRule="exact"/>
        <w:rPr>
          <w:sz w:val="24"/>
          <w:szCs w:val="24"/>
        </w:rPr>
      </w:pPr>
    </w:p>
    <w:p w:rsidR="00047FAE" w:rsidRDefault="00B11C6F">
      <w:pPr>
        <w:ind w:left="120" w:right="118"/>
        <w:jc w:val="both"/>
        <w:rPr>
          <w:rFonts w:ascii="Arial" w:eastAsia="Arial" w:hAnsi="Arial" w:cs="Arial"/>
          <w:sz w:val="24"/>
          <w:szCs w:val="24"/>
        </w:rPr>
      </w:pPr>
      <w:r w:rsidRPr="003D6731">
        <w:rPr>
          <w:rFonts w:ascii="Arial" w:eastAsia="Arial" w:hAnsi="Arial" w:cs="Arial"/>
          <w:b/>
          <w:bCs/>
          <w:spacing w:val="1"/>
          <w:sz w:val="24"/>
          <w:szCs w:val="24"/>
        </w:rPr>
        <w:t xml:space="preserve">Nous recommandons l’ajout d’un formulaire – Certificat du franchiseur concernant la déclaration </w:t>
      </w:r>
      <w:r w:rsidR="005E1E64">
        <w:rPr>
          <w:rFonts w:ascii="Arial" w:eastAsia="Arial" w:hAnsi="Arial" w:cs="Arial"/>
          <w:b/>
          <w:bCs/>
          <w:spacing w:val="1"/>
          <w:sz w:val="24"/>
          <w:szCs w:val="24"/>
        </w:rPr>
        <w:t>de</w:t>
      </w:r>
      <w:r w:rsidRPr="003D6731">
        <w:rPr>
          <w:rFonts w:ascii="Arial" w:eastAsia="Arial" w:hAnsi="Arial" w:cs="Arial"/>
          <w:b/>
          <w:bCs/>
          <w:spacing w:val="1"/>
          <w:sz w:val="24"/>
          <w:szCs w:val="24"/>
        </w:rPr>
        <w:t xml:space="preserve"> changement important, déclaration qui doit être </w:t>
      </w:r>
      <w:r w:rsidR="003D6731" w:rsidRPr="003D6731">
        <w:rPr>
          <w:rFonts w:ascii="Arial" w:eastAsia="Arial" w:hAnsi="Arial" w:cs="Arial"/>
          <w:b/>
          <w:bCs/>
          <w:spacing w:val="1"/>
          <w:sz w:val="24"/>
          <w:szCs w:val="24"/>
        </w:rPr>
        <w:t>faite</w:t>
      </w:r>
      <w:r w:rsidRPr="003D6731">
        <w:rPr>
          <w:rFonts w:ascii="Arial" w:eastAsia="Arial" w:hAnsi="Arial" w:cs="Arial"/>
          <w:b/>
          <w:bCs/>
          <w:spacing w:val="1"/>
          <w:sz w:val="24"/>
          <w:szCs w:val="24"/>
        </w:rPr>
        <w:t xml:space="preserve"> en vertu de l’article 5 (5) de la LAW.</w:t>
      </w:r>
    </w:p>
    <w:p w:rsidR="00047FAE" w:rsidRDefault="00047FAE">
      <w:pPr>
        <w:spacing w:line="240" w:lineRule="exact"/>
        <w:rPr>
          <w:sz w:val="24"/>
          <w:szCs w:val="24"/>
        </w:rPr>
      </w:pPr>
    </w:p>
    <w:p w:rsidR="00047FAE" w:rsidRDefault="00733C2E">
      <w:pPr>
        <w:pStyle w:val="BodyText"/>
        <w:ind w:right="116"/>
        <w:jc w:val="both"/>
      </w:pPr>
      <w:r w:rsidRPr="009128A2">
        <w:rPr>
          <w:spacing w:val="6"/>
        </w:rPr>
        <w:t>En ce moment, bien que la LAW dicte (à l’article 7 du règlement de la LAW) le contenu du certificat du franchiseur devant être joint à chaque document d’information présenté conformément à l’article 5</w:t>
      </w:r>
      <w:r w:rsidR="003D6731" w:rsidRPr="009128A2">
        <w:rPr>
          <w:spacing w:val="6"/>
        </w:rPr>
        <w:t xml:space="preserve"> </w:t>
      </w:r>
      <w:r w:rsidRPr="009128A2">
        <w:rPr>
          <w:spacing w:val="6"/>
        </w:rPr>
        <w:t xml:space="preserve">(4) de la LAW, cela ne </w:t>
      </w:r>
      <w:r w:rsidR="005E1E64" w:rsidRPr="009128A2">
        <w:rPr>
          <w:spacing w:val="6"/>
        </w:rPr>
        <w:t>s’applique pas à l</w:t>
      </w:r>
      <w:r w:rsidRPr="009128A2">
        <w:rPr>
          <w:spacing w:val="6"/>
        </w:rPr>
        <w:t xml:space="preserve">a déclaration de changement important qui doit être </w:t>
      </w:r>
      <w:r w:rsidR="009128A2" w:rsidRPr="009128A2">
        <w:rPr>
          <w:spacing w:val="6"/>
        </w:rPr>
        <w:t>faite</w:t>
      </w:r>
      <w:r w:rsidRPr="009128A2">
        <w:rPr>
          <w:spacing w:val="6"/>
        </w:rPr>
        <w:t xml:space="preserve"> en vertu de l’article 5 (5). Par conséquent, cette situation soulève des incertitudes et diverses pratiques quant au fond et à la forme du certi</w:t>
      </w:r>
      <w:r w:rsidR="009128A2" w:rsidRPr="009128A2">
        <w:rPr>
          <w:spacing w:val="6"/>
        </w:rPr>
        <w:t>fi</w:t>
      </w:r>
      <w:r w:rsidRPr="009128A2">
        <w:rPr>
          <w:spacing w:val="6"/>
        </w:rPr>
        <w:t>cat qui doit accompagner la déclaration de changement important.</w:t>
      </w:r>
      <w:r w:rsidR="007309FF">
        <w:rPr>
          <w:spacing w:val="8"/>
        </w:rPr>
        <w:t xml:space="preserve"> </w:t>
      </w:r>
      <w:r w:rsidRPr="009128A2">
        <w:t>Pour que les franchisés aient droit à de l’information cohérente, et pour que les franchiseurs puissent se conformer plus facilement à l’</w:t>
      </w:r>
      <w:r w:rsidR="00E47CE3" w:rsidRPr="009128A2">
        <w:t>article</w:t>
      </w:r>
      <w:r w:rsidRPr="009128A2">
        <w:t xml:space="preserve"> </w:t>
      </w:r>
      <w:r w:rsidRPr="009128A2">
        <w:lastRenderedPageBreak/>
        <w:t>5 (5) de la LAW, le Conseil recommande de prescrire soit le contenu de la déclaration de changement important, soit le formulaire en soi afin que le tout co</w:t>
      </w:r>
      <w:r w:rsidRPr="009128A2">
        <w:rPr>
          <w:spacing w:val="-1"/>
        </w:rPr>
        <w:t>rr</w:t>
      </w:r>
      <w:r w:rsidRPr="009128A2">
        <w:t>esp</w:t>
      </w:r>
      <w:r w:rsidRPr="009128A2">
        <w:rPr>
          <w:spacing w:val="-2"/>
        </w:rPr>
        <w:t>o</w:t>
      </w:r>
      <w:r w:rsidRPr="009128A2">
        <w:t>nde au contenu prescrit dans le certificat du document d’information.</w:t>
      </w:r>
    </w:p>
    <w:p w:rsidR="00047FAE" w:rsidRDefault="00047FAE">
      <w:pPr>
        <w:spacing w:line="240" w:lineRule="exact"/>
        <w:rPr>
          <w:sz w:val="24"/>
          <w:szCs w:val="24"/>
        </w:rPr>
      </w:pPr>
    </w:p>
    <w:p w:rsidR="00047FAE" w:rsidRPr="00AE255A" w:rsidRDefault="00533A4B" w:rsidP="00AE255A">
      <w:pPr>
        <w:numPr>
          <w:ilvl w:val="0"/>
          <w:numId w:val="26"/>
        </w:numPr>
        <w:tabs>
          <w:tab w:val="left" w:pos="840"/>
        </w:tabs>
        <w:ind w:left="840" w:right="1453"/>
        <w:jc w:val="both"/>
        <w:rPr>
          <w:rFonts w:ascii="Arial" w:eastAsia="Arial" w:hAnsi="Arial" w:cs="Arial"/>
          <w:sz w:val="24"/>
          <w:szCs w:val="24"/>
        </w:rPr>
      </w:pPr>
      <w:bookmarkStart w:id="57" w:name="12._Officer/Director_Exemption_under_Sub"/>
      <w:bookmarkEnd w:id="57"/>
      <w:r w:rsidRPr="00AE255A">
        <w:rPr>
          <w:rFonts w:ascii="Arial" w:eastAsia="Arial" w:hAnsi="Arial" w:cs="Arial"/>
          <w:b/>
          <w:bCs/>
          <w:sz w:val="24"/>
          <w:szCs w:val="24"/>
        </w:rPr>
        <w:t>Exemption relative aux administra</w:t>
      </w:r>
      <w:r w:rsidR="00BF7884" w:rsidRPr="00AE255A">
        <w:rPr>
          <w:rFonts w:ascii="Arial" w:eastAsia="Arial" w:hAnsi="Arial" w:cs="Arial"/>
          <w:b/>
          <w:bCs/>
          <w:sz w:val="24"/>
          <w:szCs w:val="24"/>
        </w:rPr>
        <w:t>teurs et dirigean</w:t>
      </w:r>
      <w:r w:rsidR="009128A2" w:rsidRPr="00AE255A">
        <w:rPr>
          <w:rFonts w:ascii="Arial" w:eastAsia="Arial" w:hAnsi="Arial" w:cs="Arial"/>
          <w:b/>
          <w:bCs/>
          <w:sz w:val="24"/>
          <w:szCs w:val="24"/>
        </w:rPr>
        <w:t xml:space="preserve">ts en vertu du paragraphe 5 (7) </w:t>
      </w:r>
      <w:r w:rsidR="00BF7884" w:rsidRPr="00AE255A">
        <w:rPr>
          <w:rFonts w:ascii="Arial" w:eastAsia="Arial" w:hAnsi="Arial" w:cs="Arial"/>
          <w:b/>
          <w:bCs/>
          <w:sz w:val="24"/>
          <w:szCs w:val="24"/>
        </w:rPr>
        <w:t>b) de la LAW</w:t>
      </w:r>
    </w:p>
    <w:p w:rsidR="00047FAE" w:rsidRDefault="00047FAE">
      <w:pPr>
        <w:spacing w:line="240" w:lineRule="exact"/>
        <w:rPr>
          <w:sz w:val="24"/>
          <w:szCs w:val="24"/>
        </w:rPr>
      </w:pPr>
    </w:p>
    <w:p w:rsidR="00047FAE" w:rsidRDefault="00BF7884">
      <w:pPr>
        <w:ind w:left="120" w:right="113"/>
        <w:jc w:val="both"/>
        <w:rPr>
          <w:rFonts w:ascii="Arial" w:eastAsia="Arial" w:hAnsi="Arial" w:cs="Arial"/>
          <w:sz w:val="24"/>
          <w:szCs w:val="24"/>
        </w:rPr>
      </w:pPr>
      <w:r w:rsidRPr="00EC3C6B">
        <w:rPr>
          <w:rFonts w:ascii="Arial" w:eastAsia="Arial" w:hAnsi="Arial" w:cs="Arial"/>
          <w:b/>
          <w:bCs/>
          <w:sz w:val="24"/>
          <w:szCs w:val="24"/>
        </w:rPr>
        <w:t xml:space="preserve">Nous recommandons l’adoption des recommandations de l’Association du Barreau de l’Ontario dans le but </w:t>
      </w:r>
      <w:r w:rsidR="00AE255A" w:rsidRPr="00EC3C6B">
        <w:rPr>
          <w:rFonts w:ascii="Arial" w:eastAsia="Arial" w:hAnsi="Arial" w:cs="Arial"/>
          <w:b/>
          <w:bCs/>
          <w:sz w:val="24"/>
          <w:szCs w:val="24"/>
        </w:rPr>
        <w:t>: a) d’expliquer que l’ancienne exemption relative aux administrateurs et dirigeants cesse d’exister à la fin d’une période fixe, lorsque le franchisé éventuel a cessé d’être administrateur ou dirigeant du franchiseur; et b) de confirmer que l’exemption devrait également s’appliquer lorsque le franchisé éventuel est une société appartenant à la personne en question</w:t>
      </w:r>
      <w:r w:rsidRPr="00EC3C6B">
        <w:rPr>
          <w:rFonts w:ascii="Arial" w:eastAsia="Arial" w:hAnsi="Arial" w:cs="Arial"/>
          <w:b/>
          <w:bCs/>
          <w:sz w:val="24"/>
          <w:szCs w:val="24"/>
        </w:rPr>
        <w:t>.</w:t>
      </w:r>
    </w:p>
    <w:p w:rsidR="00047FAE" w:rsidRDefault="00047FAE">
      <w:pPr>
        <w:jc w:val="both"/>
        <w:rPr>
          <w:rFonts w:ascii="Arial" w:eastAsia="Arial" w:hAnsi="Arial" w:cs="Arial"/>
          <w:sz w:val="24"/>
          <w:szCs w:val="24"/>
        </w:rPr>
      </w:pPr>
    </w:p>
    <w:p w:rsidR="00047FAE" w:rsidRDefault="008F0A94">
      <w:pPr>
        <w:pStyle w:val="BodyText"/>
        <w:spacing w:before="69"/>
        <w:ind w:right="117"/>
        <w:jc w:val="both"/>
      </w:pPr>
      <w:r w:rsidRPr="00EC3C6B">
        <w:rPr>
          <w:spacing w:val="2"/>
        </w:rPr>
        <w:t xml:space="preserve">Cette </w:t>
      </w:r>
      <w:r w:rsidR="00BF7884" w:rsidRPr="00EC3C6B">
        <w:rPr>
          <w:spacing w:val="2"/>
        </w:rPr>
        <w:t xml:space="preserve">exemption </w:t>
      </w:r>
      <w:r w:rsidR="00EC3C6B" w:rsidRPr="00EC3C6B">
        <w:rPr>
          <w:spacing w:val="2"/>
        </w:rPr>
        <w:t>s’appuie sur le</w:t>
      </w:r>
      <w:r w:rsidRPr="00EC3C6B">
        <w:rPr>
          <w:spacing w:val="2"/>
        </w:rPr>
        <w:t xml:space="preserve"> fait que l’administrateur ou le dirigeant possède des connaissances suffisantes relativement au franchiseur, au secteur d’activité pertinent et à l’offre de franchise.</w:t>
      </w:r>
      <w:r w:rsidR="007309FF">
        <w:rPr>
          <w:spacing w:val="11"/>
        </w:rPr>
        <w:t xml:space="preserve"> </w:t>
      </w:r>
      <w:r w:rsidRPr="00163934">
        <w:rPr>
          <w:spacing w:val="-1"/>
        </w:rPr>
        <w:t>L’alinéa devrait être modifié afin de clarifier,</w:t>
      </w:r>
      <w:r w:rsidR="00F94809" w:rsidRPr="00163934">
        <w:rPr>
          <w:spacing w:val="-1"/>
        </w:rPr>
        <w:t xml:space="preserve"> entre autres, que lorsqu’une certaine période s’est écoulée sans être dirigeant ou administrateur du franchiseur, une grande partie des connaissances n’est plus à jour (et, par conséquent, n’est plus pertinente), au point où l’</w:t>
      </w:r>
      <w:r w:rsidR="00F94809" w:rsidRPr="00163934">
        <w:t>e</w:t>
      </w:r>
      <w:r w:rsidR="00F94809" w:rsidRPr="00163934">
        <w:rPr>
          <w:spacing w:val="-3"/>
        </w:rPr>
        <w:t>x</w:t>
      </w:r>
      <w:r w:rsidR="00F94809" w:rsidRPr="00163934">
        <w:t>e</w:t>
      </w:r>
      <w:r w:rsidR="00F94809" w:rsidRPr="00163934">
        <w:rPr>
          <w:spacing w:val="-1"/>
        </w:rPr>
        <w:t>m</w:t>
      </w:r>
      <w:r w:rsidR="00F94809" w:rsidRPr="00163934">
        <w:t>pt</w:t>
      </w:r>
      <w:r w:rsidR="00F94809" w:rsidRPr="00163934">
        <w:rPr>
          <w:spacing w:val="-1"/>
        </w:rPr>
        <w:t>i</w:t>
      </w:r>
      <w:r w:rsidR="00F94809" w:rsidRPr="00163934">
        <w:t>on ne devrait plus s’appliquer.</w:t>
      </w:r>
      <w:r w:rsidR="007309FF">
        <w:rPr>
          <w:spacing w:val="55"/>
        </w:rPr>
        <w:t xml:space="preserve"> </w:t>
      </w:r>
      <w:r w:rsidR="00F94809" w:rsidRPr="00163934">
        <w:rPr>
          <w:spacing w:val="8"/>
        </w:rPr>
        <w:t>Nous recommandons une période fixe de 120 jours.</w:t>
      </w:r>
      <w:r w:rsidR="007309FF">
        <w:rPr>
          <w:spacing w:val="8"/>
        </w:rPr>
        <w:t xml:space="preserve"> </w:t>
      </w:r>
      <w:r w:rsidR="00F94809" w:rsidRPr="00163934">
        <w:rPr>
          <w:spacing w:val="2"/>
        </w:rPr>
        <w:t>L’</w:t>
      </w:r>
      <w:r w:rsidR="00F94809" w:rsidRPr="00163934">
        <w:t>e</w:t>
      </w:r>
      <w:r w:rsidR="00F94809" w:rsidRPr="00163934">
        <w:rPr>
          <w:spacing w:val="-3"/>
        </w:rPr>
        <w:t>x</w:t>
      </w:r>
      <w:r w:rsidR="00F94809" w:rsidRPr="00163934">
        <w:t>e</w:t>
      </w:r>
      <w:r w:rsidR="00F94809" w:rsidRPr="00163934">
        <w:rPr>
          <w:spacing w:val="1"/>
        </w:rPr>
        <w:t>m</w:t>
      </w:r>
      <w:r w:rsidR="00F94809" w:rsidRPr="00163934">
        <w:t>pt</w:t>
      </w:r>
      <w:r w:rsidR="00F94809" w:rsidRPr="00163934">
        <w:rPr>
          <w:spacing w:val="-3"/>
        </w:rPr>
        <w:t>i</w:t>
      </w:r>
      <w:r w:rsidR="00F94809" w:rsidRPr="00163934">
        <w:t>on devrait également s’appliquer à une société appartenant à une personne qui a déjà servi de dirigeant ou d’administrateur au franchiseur.</w:t>
      </w:r>
    </w:p>
    <w:p w:rsidR="00047FAE" w:rsidRDefault="00047FAE">
      <w:pPr>
        <w:spacing w:line="240" w:lineRule="exact"/>
        <w:rPr>
          <w:sz w:val="24"/>
          <w:szCs w:val="24"/>
        </w:rPr>
      </w:pPr>
    </w:p>
    <w:p w:rsidR="00047FAE" w:rsidRPr="00163934" w:rsidRDefault="00F94809" w:rsidP="00163934">
      <w:pPr>
        <w:numPr>
          <w:ilvl w:val="0"/>
          <w:numId w:val="26"/>
        </w:numPr>
        <w:tabs>
          <w:tab w:val="left" w:pos="839"/>
          <w:tab w:val="left" w:pos="6256"/>
        </w:tabs>
        <w:ind w:left="840" w:right="120"/>
        <w:rPr>
          <w:rFonts w:ascii="Arial" w:eastAsia="Arial" w:hAnsi="Arial" w:cs="Arial"/>
          <w:sz w:val="24"/>
          <w:szCs w:val="24"/>
        </w:rPr>
      </w:pPr>
      <w:bookmarkStart w:id="58" w:name="13._Fractional_Franchise_Disclosure_Exem"/>
      <w:bookmarkEnd w:id="58"/>
      <w:r w:rsidRPr="00163934">
        <w:rPr>
          <w:rFonts w:ascii="Arial" w:eastAsia="Arial" w:hAnsi="Arial" w:cs="Arial"/>
          <w:b/>
          <w:bCs/>
          <w:spacing w:val="-2"/>
          <w:sz w:val="24"/>
          <w:szCs w:val="24"/>
        </w:rPr>
        <w:t>E</w:t>
      </w:r>
      <w:r w:rsidRPr="00163934">
        <w:rPr>
          <w:rFonts w:ascii="Arial" w:eastAsia="Arial" w:hAnsi="Arial" w:cs="Arial"/>
          <w:b/>
          <w:bCs/>
          <w:sz w:val="24"/>
          <w:szCs w:val="24"/>
        </w:rPr>
        <w:t>xem</w:t>
      </w:r>
      <w:r w:rsidRPr="00163934">
        <w:rPr>
          <w:rFonts w:ascii="Arial" w:eastAsia="Arial" w:hAnsi="Arial" w:cs="Arial"/>
          <w:b/>
          <w:bCs/>
          <w:spacing w:val="-1"/>
          <w:sz w:val="24"/>
          <w:szCs w:val="24"/>
        </w:rPr>
        <w:t>pt</w:t>
      </w:r>
      <w:r w:rsidRPr="00163934">
        <w:rPr>
          <w:rFonts w:ascii="Arial" w:eastAsia="Arial" w:hAnsi="Arial" w:cs="Arial"/>
          <w:b/>
          <w:bCs/>
          <w:spacing w:val="-2"/>
          <w:sz w:val="24"/>
          <w:szCs w:val="24"/>
        </w:rPr>
        <w:t>i</w:t>
      </w:r>
      <w:r w:rsidRPr="00163934">
        <w:rPr>
          <w:rFonts w:ascii="Arial" w:eastAsia="Arial" w:hAnsi="Arial" w:cs="Arial"/>
          <w:b/>
          <w:bCs/>
          <w:spacing w:val="-1"/>
          <w:sz w:val="24"/>
          <w:szCs w:val="24"/>
        </w:rPr>
        <w:t>o</w:t>
      </w:r>
      <w:r w:rsidRPr="00163934">
        <w:rPr>
          <w:rFonts w:ascii="Arial" w:eastAsia="Arial" w:hAnsi="Arial" w:cs="Arial"/>
          <w:b/>
          <w:bCs/>
          <w:sz w:val="24"/>
          <w:szCs w:val="24"/>
        </w:rPr>
        <w:t>n</w:t>
      </w:r>
      <w:r w:rsidR="00715F17" w:rsidRPr="00163934">
        <w:rPr>
          <w:rFonts w:ascii="Arial" w:eastAsia="Arial" w:hAnsi="Arial" w:cs="Arial"/>
          <w:b/>
          <w:bCs/>
          <w:sz w:val="24"/>
          <w:szCs w:val="24"/>
        </w:rPr>
        <w:t xml:space="preserve"> fractionnaire de la divulgation relative aux franchises </w:t>
      </w:r>
      <w:r w:rsidR="00715F17" w:rsidRPr="00163934">
        <w:rPr>
          <w:rFonts w:ascii="Arial" w:eastAsia="Arial" w:hAnsi="Arial" w:cs="Arial"/>
          <w:b/>
          <w:bCs/>
          <w:spacing w:val="-1"/>
          <w:sz w:val="24"/>
          <w:szCs w:val="24"/>
        </w:rPr>
        <w:t>– Paragraphe 5 (7)</w:t>
      </w:r>
      <w:r w:rsidR="00163934" w:rsidRPr="00163934">
        <w:rPr>
          <w:rFonts w:ascii="Arial" w:eastAsia="Arial" w:hAnsi="Arial" w:cs="Arial"/>
          <w:b/>
          <w:bCs/>
          <w:spacing w:val="-1"/>
          <w:sz w:val="24"/>
          <w:szCs w:val="24"/>
        </w:rPr>
        <w:t xml:space="preserve"> </w:t>
      </w:r>
      <w:r w:rsidR="00715F17" w:rsidRPr="00163934">
        <w:rPr>
          <w:rFonts w:ascii="Arial" w:eastAsia="Arial" w:hAnsi="Arial" w:cs="Arial"/>
          <w:b/>
          <w:bCs/>
          <w:spacing w:val="-1"/>
          <w:sz w:val="24"/>
          <w:szCs w:val="24"/>
        </w:rPr>
        <w:t>e) de la LAW</w:t>
      </w:r>
    </w:p>
    <w:p w:rsidR="00047FAE" w:rsidRDefault="00047FAE">
      <w:pPr>
        <w:spacing w:line="240" w:lineRule="exact"/>
        <w:rPr>
          <w:sz w:val="24"/>
          <w:szCs w:val="24"/>
        </w:rPr>
      </w:pPr>
    </w:p>
    <w:p w:rsidR="00047FAE" w:rsidRDefault="00715F17">
      <w:pPr>
        <w:ind w:left="120" w:right="117"/>
        <w:jc w:val="both"/>
        <w:rPr>
          <w:rFonts w:ascii="Arial" w:eastAsia="Arial" w:hAnsi="Arial" w:cs="Arial"/>
          <w:sz w:val="24"/>
          <w:szCs w:val="24"/>
        </w:rPr>
      </w:pPr>
      <w:r w:rsidRPr="00F71089">
        <w:rPr>
          <w:rFonts w:ascii="Arial" w:eastAsia="Arial" w:hAnsi="Arial" w:cs="Arial"/>
          <w:b/>
          <w:bCs/>
          <w:spacing w:val="1"/>
          <w:sz w:val="24"/>
          <w:szCs w:val="24"/>
        </w:rPr>
        <w:t>Nous recommandons que l’exemption</w:t>
      </w:r>
      <w:r w:rsidR="006665C8" w:rsidRPr="00F71089">
        <w:rPr>
          <w:rFonts w:ascii="Arial" w:eastAsia="Arial" w:hAnsi="Arial" w:cs="Arial"/>
          <w:b/>
          <w:bCs/>
          <w:spacing w:val="1"/>
          <w:sz w:val="24"/>
          <w:szCs w:val="24"/>
        </w:rPr>
        <w:t xml:space="preserve"> fractionnaire en matière de divulgation relative aux franchises soit modifiée afin de mentionner que la période nécessaire à la mesure du pourcentage du </w:t>
      </w:r>
      <w:r w:rsidR="004F7AB8">
        <w:rPr>
          <w:rFonts w:ascii="Arial" w:eastAsia="Arial" w:hAnsi="Arial" w:cs="Arial"/>
          <w:b/>
          <w:bCs/>
          <w:spacing w:val="1"/>
          <w:sz w:val="24"/>
          <w:szCs w:val="24"/>
        </w:rPr>
        <w:t>chiffre</w:t>
      </w:r>
      <w:r w:rsidR="006665C8" w:rsidRPr="00F71089">
        <w:rPr>
          <w:rFonts w:ascii="Arial" w:eastAsia="Arial" w:hAnsi="Arial" w:cs="Arial"/>
          <w:b/>
          <w:bCs/>
          <w:spacing w:val="1"/>
          <w:sz w:val="24"/>
          <w:szCs w:val="24"/>
        </w:rPr>
        <w:t xml:space="preserve"> d’affaires prévu aux fins de l’exemption correspond à la première année d’exploitation de la franchise</w:t>
      </w:r>
      <w:r w:rsidRPr="00F71089">
        <w:rPr>
          <w:rFonts w:ascii="Arial" w:eastAsia="Arial" w:hAnsi="Arial" w:cs="Arial"/>
          <w:b/>
          <w:bCs/>
          <w:spacing w:val="1"/>
          <w:sz w:val="24"/>
          <w:szCs w:val="24"/>
        </w:rPr>
        <w:t>.</w:t>
      </w:r>
    </w:p>
    <w:p w:rsidR="00047FAE" w:rsidRDefault="00047FAE">
      <w:pPr>
        <w:spacing w:line="240" w:lineRule="exact"/>
        <w:rPr>
          <w:sz w:val="24"/>
          <w:szCs w:val="24"/>
        </w:rPr>
      </w:pPr>
    </w:p>
    <w:p w:rsidR="00047FAE" w:rsidRDefault="005F373B">
      <w:pPr>
        <w:pStyle w:val="BodyText"/>
        <w:ind w:right="118"/>
        <w:jc w:val="both"/>
      </w:pPr>
      <w:r w:rsidRPr="00F71089">
        <w:t>L’alinéa 5 (7)</w:t>
      </w:r>
      <w:r w:rsidR="00F71089" w:rsidRPr="00F71089">
        <w:t xml:space="preserve"> </w:t>
      </w:r>
      <w:r w:rsidRPr="00F71089">
        <w:t xml:space="preserve">e) de la LAW indique que l'exigence de divulgation de la LAW ne s’applique pas à ce qui suit : </w:t>
      </w:r>
    </w:p>
    <w:p w:rsidR="00047FAE" w:rsidRDefault="00047FAE">
      <w:pPr>
        <w:spacing w:line="240" w:lineRule="exact"/>
        <w:rPr>
          <w:sz w:val="24"/>
          <w:szCs w:val="24"/>
        </w:rPr>
      </w:pPr>
    </w:p>
    <w:p w:rsidR="00047FAE" w:rsidRDefault="0028671E">
      <w:pPr>
        <w:pStyle w:val="BodyText"/>
        <w:ind w:left="1560" w:right="118"/>
        <w:jc w:val="both"/>
      </w:pPr>
      <w:r w:rsidRPr="00F71089">
        <w:rPr>
          <w:rFonts w:cs="Helvetica"/>
          <w:color w:val="222222"/>
        </w:rPr>
        <w:t xml:space="preserve">« la concession à une personne d’une franchise visant la vente de biens ou la fourniture de services dans le cadre d’une activité commerciale dans laquelle cette personne a un intérêt si les ventes liées à ces biens ou services </w:t>
      </w:r>
      <w:r w:rsidR="004F7AB8">
        <w:rPr>
          <w:rFonts w:cs="Helvetica"/>
          <w:color w:val="222222"/>
        </w:rPr>
        <w:t>auxquelles</w:t>
      </w:r>
      <w:r w:rsidRPr="00F71089">
        <w:rPr>
          <w:rFonts w:cs="Helvetica"/>
          <w:color w:val="222222"/>
        </w:rPr>
        <w:t xml:space="preserve"> s’attendent ou devraient s’attendre les parties lors de la conclusion du contrat de franchisage ne dépassent pas un pourcentage prescrit des ventes totales de l’activité</w:t>
      </w:r>
      <w:r w:rsidR="00F71089" w:rsidRPr="00F71089">
        <w:rPr>
          <w:rFonts w:cs="Helvetica"/>
          <w:color w:val="222222"/>
        </w:rPr>
        <w:t> »</w:t>
      </w:r>
      <w:r w:rsidRPr="00F71089">
        <w:rPr>
          <w:spacing w:val="-2"/>
        </w:rPr>
        <w:t>[</w:t>
      </w:r>
      <w:r w:rsidRPr="00F71089">
        <w:t>.] </w:t>
      </w:r>
    </w:p>
    <w:p w:rsidR="00047FAE" w:rsidRDefault="00047FAE">
      <w:pPr>
        <w:spacing w:line="240" w:lineRule="exact"/>
        <w:rPr>
          <w:sz w:val="24"/>
          <w:szCs w:val="24"/>
        </w:rPr>
      </w:pPr>
    </w:p>
    <w:p w:rsidR="00047FAE" w:rsidRDefault="0028671E">
      <w:pPr>
        <w:pStyle w:val="BodyText"/>
        <w:ind w:right="117"/>
        <w:jc w:val="both"/>
      </w:pPr>
      <w:r w:rsidRPr="00F71089">
        <w:rPr>
          <w:spacing w:val="-1"/>
        </w:rPr>
        <w:t xml:space="preserve">En ce moment, l’article 8 de la partie III du règlement de la LAW </w:t>
      </w:r>
      <w:r w:rsidR="00F71089">
        <w:rPr>
          <w:spacing w:val="-1"/>
        </w:rPr>
        <w:t>indique que le pourcentage approprié</w:t>
      </w:r>
      <w:r w:rsidRPr="00F71089">
        <w:rPr>
          <w:spacing w:val="-1"/>
        </w:rPr>
        <w:t xml:space="preserve"> est de 20 pour cent.</w:t>
      </w:r>
    </w:p>
    <w:p w:rsidR="00047FAE" w:rsidRDefault="00047FAE">
      <w:pPr>
        <w:spacing w:line="240" w:lineRule="exact"/>
        <w:rPr>
          <w:sz w:val="24"/>
          <w:szCs w:val="24"/>
        </w:rPr>
      </w:pPr>
    </w:p>
    <w:p w:rsidR="00047FAE" w:rsidRDefault="0028671E">
      <w:pPr>
        <w:pStyle w:val="BodyText"/>
        <w:ind w:right="117"/>
        <w:jc w:val="both"/>
      </w:pPr>
      <w:r w:rsidRPr="00F71089">
        <w:rPr>
          <w:spacing w:val="2"/>
        </w:rPr>
        <w:t xml:space="preserve">Cet alinéa prévoit une </w:t>
      </w:r>
      <w:r w:rsidRPr="00F71089">
        <w:t>e</w:t>
      </w:r>
      <w:r w:rsidRPr="00F71089">
        <w:rPr>
          <w:spacing w:val="-3"/>
        </w:rPr>
        <w:t>x</w:t>
      </w:r>
      <w:r w:rsidRPr="00F71089">
        <w:t>e</w:t>
      </w:r>
      <w:r w:rsidRPr="00F71089">
        <w:rPr>
          <w:spacing w:val="1"/>
        </w:rPr>
        <w:t>m</w:t>
      </w:r>
      <w:r w:rsidRPr="00F71089">
        <w:t>pt</w:t>
      </w:r>
      <w:r w:rsidRPr="00F71089">
        <w:rPr>
          <w:spacing w:val="-3"/>
        </w:rPr>
        <w:t>i</w:t>
      </w:r>
      <w:r w:rsidRPr="00F71089">
        <w:t xml:space="preserve">on de divulgation dans le cas d’une </w:t>
      </w:r>
      <w:r w:rsidR="009B0F80" w:rsidRPr="00F71089">
        <w:t xml:space="preserve">« entreprise au sein d’une entreprise », lorsque la </w:t>
      </w:r>
      <w:r w:rsidR="009B0F80" w:rsidRPr="00F71089">
        <w:rPr>
          <w:spacing w:val="2"/>
        </w:rPr>
        <w:t>f</w:t>
      </w:r>
      <w:r w:rsidR="009B0F80" w:rsidRPr="00F71089">
        <w:rPr>
          <w:spacing w:val="-1"/>
        </w:rPr>
        <w:t>r</w:t>
      </w:r>
      <w:r w:rsidR="009B0F80" w:rsidRPr="00F71089">
        <w:rPr>
          <w:spacing w:val="-2"/>
        </w:rPr>
        <w:t>a</w:t>
      </w:r>
      <w:r w:rsidR="009B0F80" w:rsidRPr="00F71089">
        <w:t>nch</w:t>
      </w:r>
      <w:r w:rsidR="009B0F80" w:rsidRPr="00F71089">
        <w:rPr>
          <w:spacing w:val="-1"/>
        </w:rPr>
        <w:t>i</w:t>
      </w:r>
      <w:r w:rsidR="009B0F80" w:rsidRPr="00F71089">
        <w:t>se constitue une partie relativement petite de l’entreprise globale.</w:t>
      </w:r>
      <w:r w:rsidR="007309FF">
        <w:rPr>
          <w:spacing w:val="25"/>
        </w:rPr>
        <w:t xml:space="preserve"> </w:t>
      </w:r>
      <w:r w:rsidR="009B0F80" w:rsidRPr="00F71089">
        <w:rPr>
          <w:spacing w:val="2"/>
        </w:rPr>
        <w:t>Dans sa formulation actuelle, l’</w:t>
      </w:r>
      <w:r w:rsidR="009B0F80" w:rsidRPr="00F71089">
        <w:t>e</w:t>
      </w:r>
      <w:r w:rsidR="009B0F80" w:rsidRPr="00F71089">
        <w:rPr>
          <w:spacing w:val="-3"/>
        </w:rPr>
        <w:t>x</w:t>
      </w:r>
      <w:r w:rsidR="009B0F80" w:rsidRPr="00F71089">
        <w:t>e</w:t>
      </w:r>
      <w:r w:rsidR="009B0F80" w:rsidRPr="00F71089">
        <w:rPr>
          <w:spacing w:val="1"/>
        </w:rPr>
        <w:t>m</w:t>
      </w:r>
      <w:r w:rsidR="009B0F80" w:rsidRPr="00F71089">
        <w:t>pt</w:t>
      </w:r>
      <w:r w:rsidR="009B0F80" w:rsidRPr="00F71089">
        <w:rPr>
          <w:spacing w:val="-1"/>
        </w:rPr>
        <w:t>i</w:t>
      </w:r>
      <w:r w:rsidR="009B0F80" w:rsidRPr="00F71089">
        <w:rPr>
          <w:spacing w:val="-2"/>
        </w:rPr>
        <w:t>o</w:t>
      </w:r>
      <w:r w:rsidR="009B0F80" w:rsidRPr="00F71089">
        <w:t>n</w:t>
      </w:r>
      <w:r w:rsidR="00702F74" w:rsidRPr="00F71089">
        <w:t xml:space="preserve"> laisse entendre</w:t>
      </w:r>
      <w:r w:rsidR="009B0F80" w:rsidRPr="00F71089">
        <w:t xml:space="preserve"> qu’il faut calculer cette taille relative en fonction du pourcentage de chiffre d’affaires prévu</w:t>
      </w:r>
      <w:r w:rsidR="00702F74" w:rsidRPr="00F71089">
        <w:t>, sans toutefois</w:t>
      </w:r>
      <w:r w:rsidR="00F71089" w:rsidRPr="00F71089">
        <w:t xml:space="preserve"> qu’il y ait mention de </w:t>
      </w:r>
      <w:r w:rsidR="00702F74" w:rsidRPr="00F71089">
        <w:t xml:space="preserve">quelle période le calcul du chiffre d’affaires prévu doit </w:t>
      </w:r>
      <w:r w:rsidR="00702F74" w:rsidRPr="00F71089">
        <w:lastRenderedPageBreak/>
        <w:t>être échelonné.</w:t>
      </w:r>
      <w:r w:rsidR="009B0F80" w:rsidRPr="00F71089">
        <w:t xml:space="preserve"> </w:t>
      </w:r>
      <w:r w:rsidR="007309FF">
        <w:rPr>
          <w:spacing w:val="13"/>
        </w:rPr>
        <w:t xml:space="preserve"> </w:t>
      </w:r>
      <w:r w:rsidR="00702F74" w:rsidRPr="00F71089">
        <w:rPr>
          <w:spacing w:val="-1"/>
        </w:rPr>
        <w:t xml:space="preserve">Au sein de l’industrie du franchisage, il existe un </w:t>
      </w:r>
      <w:r w:rsidR="00702F74" w:rsidRPr="00F71089">
        <w:rPr>
          <w:spacing w:val="-3"/>
        </w:rPr>
        <w:t>c</w:t>
      </w:r>
      <w:r w:rsidR="00702F74" w:rsidRPr="00F71089">
        <w:t>ons</w:t>
      </w:r>
      <w:r w:rsidR="00702F74" w:rsidRPr="00F71089">
        <w:rPr>
          <w:spacing w:val="-2"/>
        </w:rPr>
        <w:t>e</w:t>
      </w:r>
      <w:r w:rsidR="00702F74" w:rsidRPr="00F71089">
        <w:t xml:space="preserve">nsus selon lequel la période adéquate s’échelonne sur la première année d’exploitation. Le Conseil préconise donc </w:t>
      </w:r>
      <w:r w:rsidR="00702F74" w:rsidRPr="00F71089">
        <w:rPr>
          <w:spacing w:val="-3"/>
        </w:rPr>
        <w:t>qu'il faudrait expliquer ce</w:t>
      </w:r>
      <w:r w:rsidR="00F71089" w:rsidRPr="00F71089">
        <w:rPr>
          <w:spacing w:val="-3"/>
        </w:rPr>
        <w:t xml:space="preserve"> principe</w:t>
      </w:r>
      <w:r w:rsidR="00702F74" w:rsidRPr="00F71089">
        <w:rPr>
          <w:spacing w:val="-3"/>
        </w:rPr>
        <w:t xml:space="preserve"> dans la LAW afin que les méthodes de calcul soient cohérentes</w:t>
      </w:r>
      <w:r w:rsidR="0059756A" w:rsidRPr="00F71089">
        <w:rPr>
          <w:spacing w:val="-3"/>
        </w:rPr>
        <w:t xml:space="preserve"> et de conférer de la certitude au respect de la conformité.</w:t>
      </w:r>
      <w:r w:rsidR="007309FF">
        <w:rPr>
          <w:spacing w:val="6"/>
        </w:rPr>
        <w:t xml:space="preserve"> </w:t>
      </w:r>
      <w:r w:rsidR="000A68EF" w:rsidRPr="00F71089">
        <w:rPr>
          <w:spacing w:val="-1"/>
        </w:rPr>
        <w:t>Cette modification se ferait comme suit :</w:t>
      </w:r>
    </w:p>
    <w:p w:rsidR="00047FAE" w:rsidRDefault="00047FAE">
      <w:pPr>
        <w:spacing w:line="240" w:lineRule="exact"/>
        <w:rPr>
          <w:sz w:val="24"/>
          <w:szCs w:val="24"/>
        </w:rPr>
      </w:pPr>
    </w:p>
    <w:p w:rsidR="00047FAE" w:rsidRDefault="000A68EF">
      <w:pPr>
        <w:pStyle w:val="BodyText"/>
        <w:ind w:left="1560" w:right="117"/>
        <w:jc w:val="both"/>
      </w:pPr>
      <w:r w:rsidRPr="00F71089">
        <w:rPr>
          <w:spacing w:val="1"/>
        </w:rPr>
        <w:t>« la concession à une personne d’une franchise visant la vente de biens ou la fourniture de services dans le cadre d’une activité commerciale dans laquelle cette personne a un intérêt si les ventes liées à ces biens ou services auxquelles s’attendent ou devraient s’attendre les parties lors de la conclusion du contrat de franchisage ne dépassent pas un pourcentage prescrit des ventes totales de l’activité</w:t>
      </w:r>
      <w:r w:rsidR="00A30FB4" w:rsidRPr="00F71089">
        <w:rPr>
          <w:spacing w:val="1"/>
        </w:rPr>
        <w:t xml:space="preserve"> au cours de la première année d’exploitation</w:t>
      </w:r>
      <w:r w:rsidR="00F71089" w:rsidRPr="00F71089">
        <w:rPr>
          <w:spacing w:val="1"/>
        </w:rPr>
        <w:t> »</w:t>
      </w:r>
      <w:r w:rsidRPr="00F71089">
        <w:rPr>
          <w:spacing w:val="1"/>
        </w:rPr>
        <w:t xml:space="preserve">[.] </w:t>
      </w:r>
    </w:p>
    <w:p w:rsidR="00047FAE" w:rsidRDefault="00047FAE">
      <w:pPr>
        <w:jc w:val="both"/>
      </w:pPr>
    </w:p>
    <w:p w:rsidR="00047FAE" w:rsidRPr="00F71089" w:rsidRDefault="00A30FB4" w:rsidP="00F71089">
      <w:pPr>
        <w:numPr>
          <w:ilvl w:val="0"/>
          <w:numId w:val="26"/>
        </w:numPr>
        <w:tabs>
          <w:tab w:val="left" w:pos="839"/>
        </w:tabs>
        <w:spacing w:before="69"/>
        <w:ind w:left="840" w:right="120"/>
        <w:rPr>
          <w:rFonts w:ascii="Arial" w:eastAsia="Arial" w:hAnsi="Arial" w:cs="Arial"/>
          <w:sz w:val="24"/>
          <w:szCs w:val="24"/>
        </w:rPr>
      </w:pPr>
      <w:bookmarkStart w:id="59" w:name="14._De_Minimis_Investment_Disclosure_Exe"/>
      <w:bookmarkEnd w:id="59"/>
      <w:r w:rsidRPr="00F71089">
        <w:rPr>
          <w:rFonts w:ascii="Arial" w:eastAsia="Arial" w:hAnsi="Arial" w:cs="Arial"/>
          <w:b/>
          <w:bCs/>
          <w:sz w:val="24"/>
          <w:szCs w:val="24"/>
        </w:rPr>
        <w:t>Exem</w:t>
      </w:r>
      <w:r w:rsidRPr="00F71089">
        <w:rPr>
          <w:rFonts w:ascii="Arial" w:eastAsia="Arial" w:hAnsi="Arial" w:cs="Arial"/>
          <w:b/>
          <w:bCs/>
          <w:spacing w:val="-3"/>
          <w:sz w:val="24"/>
          <w:szCs w:val="24"/>
        </w:rPr>
        <w:t>p</w:t>
      </w:r>
      <w:r w:rsidRPr="00F71089">
        <w:rPr>
          <w:rFonts w:ascii="Arial" w:eastAsia="Arial" w:hAnsi="Arial" w:cs="Arial"/>
          <w:b/>
          <w:bCs/>
          <w:spacing w:val="-1"/>
          <w:sz w:val="24"/>
          <w:szCs w:val="24"/>
        </w:rPr>
        <w:t>t</w:t>
      </w:r>
      <w:r w:rsidRPr="00F71089">
        <w:rPr>
          <w:rFonts w:ascii="Arial" w:eastAsia="Arial" w:hAnsi="Arial" w:cs="Arial"/>
          <w:b/>
          <w:bCs/>
          <w:sz w:val="24"/>
          <w:szCs w:val="24"/>
        </w:rPr>
        <w:t>i</w:t>
      </w:r>
      <w:r w:rsidRPr="00F71089">
        <w:rPr>
          <w:rFonts w:ascii="Arial" w:eastAsia="Arial" w:hAnsi="Arial" w:cs="Arial"/>
          <w:b/>
          <w:bCs/>
          <w:spacing w:val="-1"/>
          <w:sz w:val="24"/>
          <w:szCs w:val="24"/>
        </w:rPr>
        <w:t>o</w:t>
      </w:r>
      <w:r w:rsidRPr="00F71089">
        <w:rPr>
          <w:rFonts w:ascii="Arial" w:eastAsia="Arial" w:hAnsi="Arial" w:cs="Arial"/>
          <w:b/>
          <w:bCs/>
          <w:sz w:val="24"/>
          <w:szCs w:val="24"/>
        </w:rPr>
        <w:t xml:space="preserve">n de divulgation en matière d’investissement </w:t>
      </w:r>
      <w:r w:rsidRPr="00F71089">
        <w:rPr>
          <w:rFonts w:ascii="Arial" w:eastAsia="Arial" w:hAnsi="Arial" w:cs="Arial"/>
          <w:b/>
          <w:bCs/>
          <w:i/>
          <w:sz w:val="24"/>
          <w:szCs w:val="24"/>
        </w:rPr>
        <w:t xml:space="preserve">de minimis </w:t>
      </w:r>
      <w:r w:rsidRPr="00F71089">
        <w:rPr>
          <w:rFonts w:ascii="Arial" w:eastAsia="Arial" w:hAnsi="Arial" w:cs="Arial"/>
          <w:b/>
          <w:bCs/>
          <w:sz w:val="24"/>
          <w:szCs w:val="24"/>
        </w:rPr>
        <w:t>– Paragraphe 5 (7)</w:t>
      </w:r>
      <w:r w:rsidR="00F71089" w:rsidRPr="00F71089">
        <w:rPr>
          <w:rFonts w:ascii="Arial" w:eastAsia="Arial" w:hAnsi="Arial" w:cs="Arial"/>
          <w:b/>
          <w:bCs/>
          <w:sz w:val="24"/>
          <w:szCs w:val="24"/>
        </w:rPr>
        <w:t xml:space="preserve"> </w:t>
      </w:r>
      <w:r w:rsidRPr="00F71089">
        <w:rPr>
          <w:rFonts w:ascii="Arial" w:eastAsia="Arial" w:hAnsi="Arial" w:cs="Arial"/>
          <w:b/>
          <w:bCs/>
          <w:sz w:val="24"/>
          <w:szCs w:val="24"/>
        </w:rPr>
        <w:t>g)</w:t>
      </w:r>
      <w:r w:rsidR="00F71089" w:rsidRPr="00F71089">
        <w:rPr>
          <w:rFonts w:ascii="Arial" w:eastAsia="Arial" w:hAnsi="Arial" w:cs="Arial"/>
          <w:b/>
          <w:bCs/>
          <w:sz w:val="24"/>
          <w:szCs w:val="24"/>
        </w:rPr>
        <w:t xml:space="preserve"> </w:t>
      </w:r>
      <w:r w:rsidRPr="00F71089">
        <w:rPr>
          <w:rFonts w:ascii="Arial" w:eastAsia="Arial" w:hAnsi="Arial" w:cs="Arial"/>
          <w:b/>
          <w:bCs/>
          <w:sz w:val="24"/>
          <w:szCs w:val="24"/>
        </w:rPr>
        <w:t>(i) de la LAW</w:t>
      </w:r>
    </w:p>
    <w:p w:rsidR="00047FAE" w:rsidRDefault="00047FAE">
      <w:pPr>
        <w:spacing w:line="240" w:lineRule="exact"/>
        <w:rPr>
          <w:sz w:val="24"/>
          <w:szCs w:val="24"/>
        </w:rPr>
      </w:pPr>
    </w:p>
    <w:p w:rsidR="00047FAE" w:rsidRDefault="00A30FB4">
      <w:pPr>
        <w:ind w:left="120" w:right="113"/>
        <w:jc w:val="both"/>
        <w:rPr>
          <w:rFonts w:ascii="Arial" w:eastAsia="Arial" w:hAnsi="Arial" w:cs="Arial"/>
          <w:sz w:val="24"/>
          <w:szCs w:val="24"/>
        </w:rPr>
      </w:pPr>
      <w:r w:rsidRPr="00F71089">
        <w:rPr>
          <w:rFonts w:ascii="Arial" w:eastAsia="Arial" w:hAnsi="Arial" w:cs="Arial"/>
          <w:b/>
          <w:bCs/>
          <w:spacing w:val="1"/>
          <w:sz w:val="24"/>
          <w:szCs w:val="24"/>
        </w:rPr>
        <w:t xml:space="preserve">Nous recommandons de remplacer le concept de l’exemption de divulgation à l’égard de l’investissement </w:t>
      </w:r>
      <w:r w:rsidRPr="00F71089">
        <w:rPr>
          <w:rFonts w:ascii="Arial" w:eastAsia="Arial" w:hAnsi="Arial" w:cs="Arial"/>
          <w:b/>
          <w:bCs/>
          <w:i/>
          <w:spacing w:val="1"/>
          <w:sz w:val="24"/>
          <w:szCs w:val="24"/>
        </w:rPr>
        <w:t>de</w:t>
      </w:r>
      <w:r w:rsidRPr="00F71089">
        <w:rPr>
          <w:rFonts w:ascii="Arial" w:eastAsia="Arial" w:hAnsi="Arial" w:cs="Arial"/>
          <w:b/>
          <w:bCs/>
          <w:spacing w:val="1"/>
          <w:sz w:val="24"/>
          <w:szCs w:val="24"/>
        </w:rPr>
        <w:t xml:space="preserve"> </w:t>
      </w:r>
      <w:r w:rsidRPr="00F71089">
        <w:rPr>
          <w:rFonts w:ascii="Arial" w:eastAsia="Arial" w:hAnsi="Arial" w:cs="Arial"/>
          <w:b/>
          <w:bCs/>
          <w:i/>
          <w:spacing w:val="1"/>
          <w:sz w:val="24"/>
          <w:szCs w:val="24"/>
        </w:rPr>
        <w:t>minimis</w:t>
      </w:r>
      <w:r w:rsidRPr="00F71089">
        <w:rPr>
          <w:rFonts w:ascii="Arial" w:eastAsia="Arial" w:hAnsi="Arial" w:cs="Arial"/>
          <w:b/>
          <w:bCs/>
          <w:spacing w:val="1"/>
          <w:sz w:val="24"/>
          <w:szCs w:val="24"/>
        </w:rPr>
        <w:t xml:space="preserve"> quant à l’« investissement annuel total » par le concept d’un « investissement initial » prévu par les parties au moment de la conclusion du </w:t>
      </w:r>
      <w:r w:rsidR="005A117B" w:rsidRPr="00F71089">
        <w:rPr>
          <w:rFonts w:ascii="Arial" w:eastAsia="Arial" w:hAnsi="Arial" w:cs="Arial"/>
          <w:b/>
          <w:bCs/>
          <w:spacing w:val="1"/>
          <w:sz w:val="24"/>
          <w:szCs w:val="24"/>
        </w:rPr>
        <w:t>contrat de franchisage</w:t>
      </w:r>
      <w:r w:rsidRPr="00F71089">
        <w:rPr>
          <w:rFonts w:ascii="Arial" w:eastAsia="Arial" w:hAnsi="Arial" w:cs="Arial"/>
          <w:b/>
          <w:bCs/>
          <w:spacing w:val="1"/>
          <w:sz w:val="24"/>
          <w:szCs w:val="24"/>
        </w:rPr>
        <w:t xml:space="preserve"> afin de clarifier l’échéancier et la méthode de calcul du montant d’investissement approprié aux fins de l’exemption.</w:t>
      </w:r>
    </w:p>
    <w:p w:rsidR="00047FAE" w:rsidRDefault="00047FAE">
      <w:pPr>
        <w:spacing w:line="240" w:lineRule="exact"/>
        <w:rPr>
          <w:sz w:val="24"/>
          <w:szCs w:val="24"/>
        </w:rPr>
      </w:pPr>
    </w:p>
    <w:p w:rsidR="00047FAE" w:rsidRDefault="00A30FB4">
      <w:pPr>
        <w:pStyle w:val="BodyText"/>
        <w:ind w:right="117"/>
        <w:jc w:val="both"/>
      </w:pPr>
      <w:r w:rsidRPr="00F71089">
        <w:rPr>
          <w:spacing w:val="-1"/>
        </w:rPr>
        <w:t>En vertu de l’alinéa 5 (7)</w:t>
      </w:r>
      <w:r w:rsidR="006E4200" w:rsidRPr="00F71089">
        <w:rPr>
          <w:spacing w:val="-1"/>
        </w:rPr>
        <w:t xml:space="preserve"> </w:t>
      </w:r>
      <w:r w:rsidRPr="00F71089">
        <w:rPr>
          <w:spacing w:val="-1"/>
        </w:rPr>
        <w:t>g)</w:t>
      </w:r>
      <w:r w:rsidR="006E4200" w:rsidRPr="00F71089">
        <w:rPr>
          <w:spacing w:val="-1"/>
        </w:rPr>
        <w:t xml:space="preserve"> </w:t>
      </w:r>
      <w:r w:rsidRPr="00F71089">
        <w:rPr>
          <w:spacing w:val="-1"/>
        </w:rPr>
        <w:t>(i) de la LAW, un franchiseur devrait être exemp</w:t>
      </w:r>
      <w:r w:rsidR="006E4200" w:rsidRPr="00F71089">
        <w:rPr>
          <w:spacing w:val="-1"/>
        </w:rPr>
        <w:t>t</w:t>
      </w:r>
      <w:r w:rsidRPr="00F71089">
        <w:rPr>
          <w:spacing w:val="-1"/>
        </w:rPr>
        <w:t xml:space="preserve">é de divulgation si </w:t>
      </w:r>
      <w:r w:rsidR="006E4200" w:rsidRPr="00F71089">
        <w:rPr>
          <w:spacing w:val="-1"/>
        </w:rPr>
        <w:t>« </w:t>
      </w:r>
      <w:r w:rsidR="006E4200" w:rsidRPr="00F71089">
        <w:rPr>
          <w:rFonts w:cs="Helvetica"/>
          <w:color w:val="222222"/>
        </w:rPr>
        <w:t>le franchisé éventuel est tenu de faire un investissement total annuel qui ne dépasse pas la somme prescrite pour acquérir et exploiter la franchise</w:t>
      </w:r>
      <w:r w:rsidR="00F71089" w:rsidRPr="00F71089">
        <w:rPr>
          <w:rFonts w:cs="Helvetica"/>
          <w:color w:val="222222"/>
        </w:rPr>
        <w:t> »</w:t>
      </w:r>
      <w:r w:rsidR="00524584" w:rsidRPr="00F71089">
        <w:t>[</w:t>
      </w:r>
      <w:r w:rsidR="00524584" w:rsidRPr="00F71089">
        <w:rPr>
          <w:spacing w:val="-2"/>
        </w:rPr>
        <w:t>.</w:t>
      </w:r>
      <w:r w:rsidR="00524584" w:rsidRPr="00F71089">
        <w:t>]</w:t>
      </w:r>
      <w:r w:rsidR="007309FF">
        <w:t xml:space="preserve"> </w:t>
      </w:r>
      <w:r w:rsidR="00524584" w:rsidRPr="00F71089">
        <w:rPr>
          <w:spacing w:val="-1"/>
        </w:rPr>
        <w:t xml:space="preserve">En ce moment, l’article 9 de la partie III du règlement de la LAW indique que le pourcentage </w:t>
      </w:r>
      <w:r w:rsidR="00F71089" w:rsidRPr="00F71089">
        <w:rPr>
          <w:spacing w:val="-1"/>
        </w:rPr>
        <w:t>approprié</w:t>
      </w:r>
      <w:r w:rsidR="00524584" w:rsidRPr="00F71089">
        <w:rPr>
          <w:spacing w:val="-1"/>
        </w:rPr>
        <w:t xml:space="preserve"> est de 5 000 $.</w:t>
      </w:r>
    </w:p>
    <w:p w:rsidR="00047FAE" w:rsidRDefault="00047FAE">
      <w:pPr>
        <w:spacing w:line="240" w:lineRule="exact"/>
        <w:rPr>
          <w:sz w:val="24"/>
          <w:szCs w:val="24"/>
        </w:rPr>
      </w:pPr>
    </w:p>
    <w:p w:rsidR="00047FAE" w:rsidRDefault="00524584">
      <w:pPr>
        <w:pStyle w:val="BodyText"/>
        <w:ind w:right="118"/>
        <w:jc w:val="both"/>
      </w:pPr>
      <w:r w:rsidRPr="00F71089">
        <w:rPr>
          <w:spacing w:val="2"/>
        </w:rPr>
        <w:t xml:space="preserve">Cette exemption a pour but </w:t>
      </w:r>
      <w:r w:rsidR="00A217E8" w:rsidRPr="00F71089">
        <w:rPr>
          <w:spacing w:val="2"/>
        </w:rPr>
        <w:t xml:space="preserve">de décharger le franchiseur de son obligation de divulgation lorsque le montant qu’il reçoit du franchisé éventuel (et, par conséquent, le montant que le franchisé éventuel a mis à risque) est si peu élevé qu’il est </w:t>
      </w:r>
      <w:r w:rsidR="00F71089" w:rsidRPr="00F71089">
        <w:rPr>
          <w:spacing w:val="2"/>
        </w:rPr>
        <w:t xml:space="preserve">grandement </w:t>
      </w:r>
      <w:r w:rsidR="0089405C" w:rsidRPr="00F71089">
        <w:rPr>
          <w:spacing w:val="2"/>
        </w:rPr>
        <w:t>compensé par le coût de la divulgation.</w:t>
      </w:r>
    </w:p>
    <w:p w:rsidR="00047FAE" w:rsidRDefault="00047FAE">
      <w:pPr>
        <w:spacing w:line="240" w:lineRule="exact"/>
        <w:rPr>
          <w:sz w:val="24"/>
          <w:szCs w:val="24"/>
        </w:rPr>
      </w:pPr>
    </w:p>
    <w:p w:rsidR="00047FAE" w:rsidRDefault="0089405C">
      <w:pPr>
        <w:pStyle w:val="BodyText"/>
        <w:ind w:right="116"/>
        <w:jc w:val="both"/>
      </w:pPr>
      <w:r w:rsidRPr="00F71089">
        <w:rPr>
          <w:spacing w:val="2"/>
        </w:rPr>
        <w:t xml:space="preserve">L’expression « investissement total annuel » </w:t>
      </w:r>
      <w:r w:rsidR="00F71089" w:rsidRPr="00F71089">
        <w:rPr>
          <w:spacing w:val="2"/>
        </w:rPr>
        <w:t>n’est</w:t>
      </w:r>
      <w:r w:rsidRPr="00F71089">
        <w:rPr>
          <w:spacing w:val="2"/>
        </w:rPr>
        <w:t xml:space="preserve"> pas définie dans la LAW ni dans le règlement de la LAW. Par conséquent, il existe de l’incertitude quant à la manière et à la période (date) du calcul de ce montant pour déterminer si l’exemption est justifiée.</w:t>
      </w:r>
      <w:r w:rsidR="007309FF">
        <w:rPr>
          <w:spacing w:val="37"/>
        </w:rPr>
        <w:t xml:space="preserve"> </w:t>
      </w:r>
      <w:r w:rsidRPr="00F71089">
        <w:t>Il est particulièrement difficile de déterminer ce que signifie un « investissement » pour « exploiter » une franchise.</w:t>
      </w:r>
      <w:r w:rsidR="007309FF">
        <w:rPr>
          <w:spacing w:val="16"/>
        </w:rPr>
        <w:t xml:space="preserve"> </w:t>
      </w:r>
      <w:r w:rsidRPr="00F71089">
        <w:rPr>
          <w:spacing w:val="2"/>
        </w:rPr>
        <w:t>Le Co</w:t>
      </w:r>
      <w:r w:rsidR="00112A08" w:rsidRPr="00F71089">
        <w:rPr>
          <w:spacing w:val="2"/>
        </w:rPr>
        <w:t>nseil recommande (concrètement, et conformément à la recommandation de l'ABO) que l'alinéa 5 (7) g (ii) soit</w:t>
      </w:r>
      <w:r w:rsidR="00CC7B66" w:rsidRPr="00F71089">
        <w:rPr>
          <w:spacing w:val="2"/>
        </w:rPr>
        <w:t xml:space="preserve"> </w:t>
      </w:r>
      <w:r w:rsidR="00112A08" w:rsidRPr="00F71089">
        <w:rPr>
          <w:spacing w:val="2"/>
        </w:rPr>
        <w:t xml:space="preserve">modifié afin </w:t>
      </w:r>
      <w:r w:rsidR="00C41991" w:rsidRPr="00F71089">
        <w:rPr>
          <w:spacing w:val="2"/>
        </w:rPr>
        <w:t>d’atténuer cette incertitude.</w:t>
      </w:r>
      <w:r w:rsidR="007309FF">
        <w:rPr>
          <w:spacing w:val="43"/>
        </w:rPr>
        <w:t xml:space="preserve"> </w:t>
      </w:r>
      <w:r w:rsidR="00C41991" w:rsidRPr="00F71089">
        <w:rPr>
          <w:spacing w:val="2"/>
        </w:rPr>
        <w:t>Cette modification se ferait comme suit :</w:t>
      </w:r>
    </w:p>
    <w:p w:rsidR="00047FAE" w:rsidRDefault="00047FAE">
      <w:pPr>
        <w:spacing w:line="240" w:lineRule="exact"/>
        <w:rPr>
          <w:sz w:val="24"/>
          <w:szCs w:val="24"/>
        </w:rPr>
      </w:pPr>
    </w:p>
    <w:p w:rsidR="00047FAE" w:rsidRDefault="00CC7B66">
      <w:pPr>
        <w:pStyle w:val="BodyText"/>
        <w:ind w:left="1560" w:right="116"/>
        <w:jc w:val="both"/>
        <w:rPr>
          <w:spacing w:val="-2"/>
        </w:rPr>
      </w:pPr>
      <w:r w:rsidRPr="006E1730">
        <w:rPr>
          <w:spacing w:val="1"/>
        </w:rPr>
        <w:t>« </w:t>
      </w:r>
      <w:r w:rsidRPr="006E1730">
        <w:rPr>
          <w:rFonts w:cs="Helvetica"/>
          <w:color w:val="222222"/>
        </w:rPr>
        <w:t>le franchisé éventuel est tenu de faire, en vertu d’un contrat ou autrement, un investissement initial pour faire l'acquisition et l'installation de la franchise moyennant un montant, tel que prévu par les parties, ou qui devrait être prévu par les parties au moment où le contrat de franchisage est conclu, qui ne dépasse pas un</w:t>
      </w:r>
      <w:r w:rsidR="00F71089" w:rsidRPr="006E1730">
        <w:rPr>
          <w:rFonts w:cs="Helvetica"/>
          <w:color w:val="222222"/>
        </w:rPr>
        <w:t xml:space="preserve"> mont</w:t>
      </w:r>
      <w:r w:rsidRPr="006E1730">
        <w:rPr>
          <w:rFonts w:cs="Helvetica"/>
          <w:color w:val="222222"/>
        </w:rPr>
        <w:t>ant prescrit</w:t>
      </w:r>
      <w:r w:rsidR="00F71089" w:rsidRPr="006E1730">
        <w:rPr>
          <w:rFonts w:cs="Helvetica"/>
          <w:color w:val="222222"/>
        </w:rPr>
        <w:t> »</w:t>
      </w:r>
      <w:r w:rsidRPr="006E1730">
        <w:t>[.</w:t>
      </w:r>
      <w:r w:rsidRPr="006E1730">
        <w:rPr>
          <w:spacing w:val="-2"/>
        </w:rPr>
        <w:t>]</w:t>
      </w:r>
    </w:p>
    <w:p w:rsidR="00DF064B" w:rsidRDefault="00DF064B">
      <w:pPr>
        <w:pStyle w:val="BodyText"/>
        <w:ind w:left="1560" w:right="116"/>
        <w:jc w:val="both"/>
        <w:rPr>
          <w:spacing w:val="-2"/>
        </w:rPr>
      </w:pPr>
    </w:p>
    <w:p w:rsidR="00DF064B" w:rsidRDefault="00DF064B">
      <w:pPr>
        <w:pStyle w:val="BodyText"/>
        <w:ind w:left="1560" w:right="116"/>
        <w:jc w:val="both"/>
      </w:pPr>
    </w:p>
    <w:p w:rsidR="00DF064B" w:rsidRPr="00DF064B" w:rsidRDefault="0060031C" w:rsidP="006E1730">
      <w:pPr>
        <w:numPr>
          <w:ilvl w:val="0"/>
          <w:numId w:val="26"/>
        </w:numPr>
        <w:tabs>
          <w:tab w:val="left" w:pos="840"/>
        </w:tabs>
        <w:spacing w:line="520" w:lineRule="atLeast"/>
        <w:ind w:left="120" w:right="118" w:firstLine="0"/>
        <w:jc w:val="both"/>
        <w:rPr>
          <w:rFonts w:ascii="Arial" w:eastAsia="Arial" w:hAnsi="Arial" w:cs="Arial"/>
          <w:sz w:val="24"/>
          <w:szCs w:val="24"/>
        </w:rPr>
      </w:pPr>
      <w:bookmarkStart w:id="60" w:name="15._Large_Investment_Disclosure_Exemptio"/>
      <w:bookmarkEnd w:id="60"/>
      <w:r w:rsidRPr="006E1730">
        <w:rPr>
          <w:rFonts w:ascii="Arial" w:eastAsia="Arial" w:hAnsi="Arial" w:cs="Arial"/>
          <w:b/>
          <w:bCs/>
          <w:sz w:val="24"/>
          <w:szCs w:val="24"/>
        </w:rPr>
        <w:lastRenderedPageBreak/>
        <w:t>E</w:t>
      </w:r>
      <w:r w:rsidRPr="006E1730">
        <w:rPr>
          <w:rFonts w:ascii="Arial" w:eastAsia="Arial" w:hAnsi="Arial" w:cs="Arial"/>
          <w:b/>
          <w:bCs/>
          <w:spacing w:val="-2"/>
          <w:sz w:val="24"/>
          <w:szCs w:val="24"/>
        </w:rPr>
        <w:t>x</w:t>
      </w:r>
      <w:r w:rsidRPr="006E1730">
        <w:rPr>
          <w:rFonts w:ascii="Arial" w:eastAsia="Arial" w:hAnsi="Arial" w:cs="Arial"/>
          <w:b/>
          <w:bCs/>
          <w:sz w:val="24"/>
          <w:szCs w:val="24"/>
        </w:rPr>
        <w:t>em</w:t>
      </w:r>
      <w:r w:rsidRPr="006E1730">
        <w:rPr>
          <w:rFonts w:ascii="Arial" w:eastAsia="Arial" w:hAnsi="Arial" w:cs="Arial"/>
          <w:b/>
          <w:bCs/>
          <w:spacing w:val="-1"/>
          <w:sz w:val="24"/>
          <w:szCs w:val="24"/>
        </w:rPr>
        <w:t>pt</w:t>
      </w:r>
      <w:r w:rsidRPr="006E1730">
        <w:rPr>
          <w:rFonts w:ascii="Arial" w:eastAsia="Arial" w:hAnsi="Arial" w:cs="Arial"/>
          <w:b/>
          <w:bCs/>
          <w:sz w:val="24"/>
          <w:szCs w:val="24"/>
        </w:rPr>
        <w:t>i</w:t>
      </w:r>
      <w:r w:rsidRPr="006E1730">
        <w:rPr>
          <w:rFonts w:ascii="Arial" w:eastAsia="Arial" w:hAnsi="Arial" w:cs="Arial"/>
          <w:b/>
          <w:bCs/>
          <w:spacing w:val="-1"/>
          <w:sz w:val="24"/>
          <w:szCs w:val="24"/>
        </w:rPr>
        <w:t>o</w:t>
      </w:r>
      <w:r w:rsidRPr="006E1730">
        <w:rPr>
          <w:rFonts w:ascii="Arial" w:eastAsia="Arial" w:hAnsi="Arial" w:cs="Arial"/>
          <w:b/>
          <w:bCs/>
          <w:sz w:val="24"/>
          <w:szCs w:val="24"/>
        </w:rPr>
        <w:t>n de divulgation en matière d’investissement important – Paragraphe 5 (7) h) de la LAW</w:t>
      </w:r>
    </w:p>
    <w:p w:rsidR="00047FAE" w:rsidRDefault="0060031C" w:rsidP="00DF064B">
      <w:pPr>
        <w:tabs>
          <w:tab w:val="left" w:pos="840"/>
        </w:tabs>
        <w:spacing w:line="520" w:lineRule="atLeast"/>
        <w:ind w:left="120" w:right="118"/>
        <w:jc w:val="both"/>
        <w:rPr>
          <w:rFonts w:ascii="Arial" w:eastAsia="Arial" w:hAnsi="Arial" w:cs="Arial"/>
          <w:sz w:val="24"/>
          <w:szCs w:val="24"/>
        </w:rPr>
      </w:pPr>
      <w:r w:rsidRPr="006E1730">
        <w:rPr>
          <w:rFonts w:ascii="Arial" w:eastAsia="Arial" w:hAnsi="Arial" w:cs="Arial"/>
          <w:b/>
          <w:bCs/>
          <w:sz w:val="24"/>
          <w:szCs w:val="24"/>
        </w:rPr>
        <w:t>Nous recommandons de m</w:t>
      </w:r>
      <w:r w:rsidR="006E1730" w:rsidRPr="006E1730">
        <w:rPr>
          <w:rFonts w:ascii="Arial" w:eastAsia="Arial" w:hAnsi="Arial" w:cs="Arial"/>
          <w:b/>
          <w:bCs/>
          <w:sz w:val="24"/>
          <w:szCs w:val="24"/>
        </w:rPr>
        <w:t>odifier c</w:t>
      </w:r>
      <w:r w:rsidRPr="006E1730">
        <w:rPr>
          <w:rFonts w:ascii="Arial" w:eastAsia="Arial" w:hAnsi="Arial" w:cs="Arial"/>
          <w:b/>
          <w:bCs/>
          <w:sz w:val="24"/>
          <w:szCs w:val="24"/>
        </w:rPr>
        <w:t>e paragraphe afin de rendre plus cohérentes cette exem</w:t>
      </w:r>
      <w:r w:rsidRPr="006E1730">
        <w:rPr>
          <w:rFonts w:ascii="Arial" w:eastAsia="Arial" w:hAnsi="Arial" w:cs="Arial"/>
          <w:b/>
          <w:bCs/>
          <w:spacing w:val="-1"/>
          <w:sz w:val="24"/>
          <w:szCs w:val="24"/>
        </w:rPr>
        <w:t>pt</w:t>
      </w:r>
      <w:r w:rsidRPr="006E1730">
        <w:rPr>
          <w:rFonts w:ascii="Arial" w:eastAsia="Arial" w:hAnsi="Arial" w:cs="Arial"/>
          <w:b/>
          <w:bCs/>
          <w:sz w:val="24"/>
          <w:szCs w:val="24"/>
        </w:rPr>
        <w:t>i</w:t>
      </w:r>
      <w:r w:rsidRPr="006E1730">
        <w:rPr>
          <w:rFonts w:ascii="Arial" w:eastAsia="Arial" w:hAnsi="Arial" w:cs="Arial"/>
          <w:b/>
          <w:bCs/>
          <w:spacing w:val="-1"/>
          <w:sz w:val="24"/>
          <w:szCs w:val="24"/>
        </w:rPr>
        <w:t>o</w:t>
      </w:r>
      <w:r w:rsidRPr="006E1730">
        <w:rPr>
          <w:rFonts w:ascii="Arial" w:eastAsia="Arial" w:hAnsi="Arial" w:cs="Arial"/>
          <w:b/>
          <w:bCs/>
          <w:sz w:val="24"/>
          <w:szCs w:val="24"/>
        </w:rPr>
        <w:t>n et l’exem</w:t>
      </w:r>
      <w:r w:rsidRPr="006E1730">
        <w:rPr>
          <w:rFonts w:ascii="Arial" w:eastAsia="Arial" w:hAnsi="Arial" w:cs="Arial"/>
          <w:b/>
          <w:bCs/>
          <w:spacing w:val="-1"/>
          <w:sz w:val="24"/>
          <w:szCs w:val="24"/>
        </w:rPr>
        <w:t>pt</w:t>
      </w:r>
      <w:r w:rsidRPr="006E1730">
        <w:rPr>
          <w:rFonts w:ascii="Arial" w:eastAsia="Arial" w:hAnsi="Arial" w:cs="Arial"/>
          <w:b/>
          <w:bCs/>
          <w:sz w:val="24"/>
          <w:szCs w:val="24"/>
        </w:rPr>
        <w:t>i</w:t>
      </w:r>
      <w:r w:rsidRPr="006E1730">
        <w:rPr>
          <w:rFonts w:ascii="Arial" w:eastAsia="Arial" w:hAnsi="Arial" w:cs="Arial"/>
          <w:b/>
          <w:bCs/>
          <w:spacing w:val="-1"/>
          <w:sz w:val="24"/>
          <w:szCs w:val="24"/>
        </w:rPr>
        <w:t>o</w:t>
      </w:r>
      <w:r w:rsidRPr="006E1730">
        <w:rPr>
          <w:rFonts w:ascii="Arial" w:eastAsia="Arial" w:hAnsi="Arial" w:cs="Arial"/>
          <w:b/>
          <w:bCs/>
          <w:sz w:val="24"/>
          <w:szCs w:val="24"/>
        </w:rPr>
        <w:t xml:space="preserve">n </w:t>
      </w:r>
      <w:r w:rsidRPr="006E1730">
        <w:rPr>
          <w:rFonts w:ascii="Arial" w:eastAsia="Arial" w:hAnsi="Arial" w:cs="Arial"/>
          <w:b/>
          <w:bCs/>
          <w:i/>
          <w:sz w:val="24"/>
          <w:szCs w:val="24"/>
        </w:rPr>
        <w:t>de</w:t>
      </w:r>
      <w:r w:rsidRPr="006E1730">
        <w:rPr>
          <w:rFonts w:ascii="Arial" w:eastAsia="Arial" w:hAnsi="Arial" w:cs="Arial"/>
          <w:b/>
          <w:bCs/>
          <w:sz w:val="24"/>
          <w:szCs w:val="24"/>
        </w:rPr>
        <w:t xml:space="preserve"> </w:t>
      </w:r>
      <w:r w:rsidRPr="006E1730">
        <w:rPr>
          <w:rFonts w:ascii="Arial" w:eastAsia="Arial" w:hAnsi="Arial" w:cs="Arial"/>
          <w:b/>
          <w:bCs/>
          <w:i/>
          <w:sz w:val="24"/>
          <w:szCs w:val="24"/>
        </w:rPr>
        <w:t>minimis</w:t>
      </w:r>
      <w:r w:rsidRPr="006E1730">
        <w:rPr>
          <w:rFonts w:ascii="Arial" w:eastAsia="Arial" w:hAnsi="Arial" w:cs="Arial"/>
          <w:b/>
          <w:bCs/>
          <w:sz w:val="24"/>
          <w:szCs w:val="24"/>
        </w:rPr>
        <w:t xml:space="preserve"> dont il est question ci-dessus.</w:t>
      </w:r>
    </w:p>
    <w:p w:rsidR="00047FAE" w:rsidRDefault="00047FAE">
      <w:pPr>
        <w:spacing w:line="240" w:lineRule="exact"/>
        <w:rPr>
          <w:sz w:val="24"/>
          <w:szCs w:val="24"/>
        </w:rPr>
      </w:pPr>
    </w:p>
    <w:p w:rsidR="00047FAE" w:rsidRDefault="009A28DA">
      <w:pPr>
        <w:pStyle w:val="BodyText"/>
        <w:ind w:right="117"/>
        <w:jc w:val="both"/>
      </w:pPr>
      <w:r w:rsidRPr="006E1730">
        <w:t>Conformément à l’alinéa 5 (7) h), le franchiseur n’a pas besoin</w:t>
      </w:r>
      <w:r w:rsidR="006E1730" w:rsidRPr="006E1730">
        <w:t xml:space="preserve"> </w:t>
      </w:r>
      <w:r w:rsidRPr="006E1730">
        <w:t>de faire une divulgation en ce qui a trait à l’octroi d’une franchise « </w:t>
      </w:r>
      <w:r w:rsidRPr="006E1730">
        <w:rPr>
          <w:rFonts w:cs="Helvetica"/>
          <w:color w:val="222222"/>
        </w:rPr>
        <w:t>si le franchisé éventuel investit une somme supérieure à la somme prescrite dans l’acquisition et l’exploitation de la franchise au cours de la période prescrite ».</w:t>
      </w:r>
      <w:r w:rsidR="007309FF">
        <w:rPr>
          <w:spacing w:val="66"/>
        </w:rPr>
        <w:t xml:space="preserve"> </w:t>
      </w:r>
      <w:r w:rsidRPr="006E1730">
        <w:t xml:space="preserve">D’après l’article 10 du règlement de la LAW, le délai prescrit est d’un an, et le montant prescrit, de 5 000 000 $. </w:t>
      </w:r>
    </w:p>
    <w:p w:rsidR="00047FAE" w:rsidRDefault="00047FAE">
      <w:pPr>
        <w:spacing w:line="240" w:lineRule="exact"/>
        <w:rPr>
          <w:sz w:val="24"/>
          <w:szCs w:val="24"/>
        </w:rPr>
      </w:pPr>
    </w:p>
    <w:p w:rsidR="00047FAE" w:rsidRDefault="00F03DCB">
      <w:pPr>
        <w:pStyle w:val="BodyText"/>
        <w:ind w:right="118"/>
        <w:jc w:val="both"/>
      </w:pPr>
      <w:r w:rsidRPr="00F03DCB">
        <w:rPr>
          <w:spacing w:val="2"/>
        </w:rPr>
        <w:t>Cette exemption permet</w:t>
      </w:r>
      <w:r w:rsidR="009A28DA" w:rsidRPr="00F03DCB">
        <w:rPr>
          <w:spacing w:val="2"/>
        </w:rPr>
        <w:t xml:space="preserve"> à un franchiseur de ne pas</w:t>
      </w:r>
      <w:r w:rsidR="00784285" w:rsidRPr="00F03DCB">
        <w:rPr>
          <w:spacing w:val="2"/>
        </w:rPr>
        <w:t xml:space="preserve"> </w:t>
      </w:r>
      <w:r w:rsidR="00940C69" w:rsidRPr="00F03DCB">
        <w:rPr>
          <w:spacing w:val="2"/>
        </w:rPr>
        <w:t xml:space="preserve">faire </w:t>
      </w:r>
      <w:r w:rsidRPr="00F03DCB">
        <w:rPr>
          <w:spacing w:val="2"/>
        </w:rPr>
        <w:t>de</w:t>
      </w:r>
      <w:r w:rsidR="00784285" w:rsidRPr="00F03DCB">
        <w:rPr>
          <w:spacing w:val="2"/>
        </w:rPr>
        <w:t xml:space="preserve"> divulgation lorsque le franchisé é</w:t>
      </w:r>
      <w:r w:rsidR="00940C69" w:rsidRPr="00F03DCB">
        <w:rPr>
          <w:spacing w:val="2"/>
        </w:rPr>
        <w:t>ventuel investit une somme impor</w:t>
      </w:r>
      <w:r w:rsidR="00784285" w:rsidRPr="00F03DCB">
        <w:rPr>
          <w:spacing w:val="2"/>
        </w:rPr>
        <w:t>tant</w:t>
      </w:r>
      <w:r w:rsidR="00940C69" w:rsidRPr="00F03DCB">
        <w:rPr>
          <w:spacing w:val="2"/>
        </w:rPr>
        <w:t>e,</w:t>
      </w:r>
      <w:r w:rsidR="00784285" w:rsidRPr="00F03DCB">
        <w:rPr>
          <w:spacing w:val="2"/>
        </w:rPr>
        <w:t xml:space="preserve"> au point où l’on peut présumer qu’il s’agit d'une </w:t>
      </w:r>
      <w:r w:rsidR="00940C69" w:rsidRPr="00F03DCB">
        <w:rPr>
          <w:spacing w:val="2"/>
        </w:rPr>
        <w:t>entité de haut calibre</w:t>
      </w:r>
      <w:r w:rsidR="00784285" w:rsidRPr="00F03DCB">
        <w:rPr>
          <w:spacing w:val="2"/>
        </w:rPr>
        <w:t>, capable d’évaluer e</w:t>
      </w:r>
      <w:r w:rsidR="00940C69" w:rsidRPr="00F03DCB">
        <w:rPr>
          <w:spacing w:val="2"/>
        </w:rPr>
        <w:t xml:space="preserve">t de négocier les modalités </w:t>
      </w:r>
      <w:r w:rsidR="00784285" w:rsidRPr="00F03DCB">
        <w:rPr>
          <w:spacing w:val="2"/>
        </w:rPr>
        <w:t xml:space="preserve">d’affaires sans </w:t>
      </w:r>
      <w:r w:rsidR="00940C69" w:rsidRPr="00F03DCB">
        <w:rPr>
          <w:spacing w:val="2"/>
        </w:rPr>
        <w:t xml:space="preserve">avoir besoin d’un </w:t>
      </w:r>
      <w:r w:rsidR="00784285" w:rsidRPr="00F03DCB">
        <w:rPr>
          <w:spacing w:val="2"/>
        </w:rPr>
        <w:t>document d’information. Autrement dit, il ne s’agit pas du type d’entité</w:t>
      </w:r>
      <w:r w:rsidR="009A28DA" w:rsidRPr="00F03DCB">
        <w:rPr>
          <w:spacing w:val="2"/>
        </w:rPr>
        <w:t xml:space="preserve"> </w:t>
      </w:r>
      <w:r w:rsidR="00940C69" w:rsidRPr="00F03DCB">
        <w:rPr>
          <w:spacing w:val="2"/>
        </w:rPr>
        <w:t>que la LAW est conçue pour protéger.</w:t>
      </w:r>
    </w:p>
    <w:p w:rsidR="00047FAE" w:rsidRDefault="00047FAE">
      <w:pPr>
        <w:jc w:val="both"/>
      </w:pPr>
    </w:p>
    <w:p w:rsidR="00047FAE" w:rsidRDefault="00940C69">
      <w:pPr>
        <w:pStyle w:val="BodyText"/>
        <w:spacing w:before="69"/>
        <w:ind w:right="118"/>
        <w:jc w:val="both"/>
      </w:pPr>
      <w:r w:rsidRPr="00F03DCB">
        <w:t>Comme dans le cas de l’e</w:t>
      </w:r>
      <w:r w:rsidRPr="00F03DCB">
        <w:rPr>
          <w:spacing w:val="-3"/>
        </w:rPr>
        <w:t>x</w:t>
      </w:r>
      <w:r w:rsidRPr="00F03DCB">
        <w:t>e</w:t>
      </w:r>
      <w:r w:rsidRPr="00F03DCB">
        <w:rPr>
          <w:spacing w:val="-1"/>
        </w:rPr>
        <w:t>m</w:t>
      </w:r>
      <w:r w:rsidRPr="00F03DCB">
        <w:t>pt</w:t>
      </w:r>
      <w:r w:rsidRPr="00F03DCB">
        <w:rPr>
          <w:spacing w:val="-1"/>
        </w:rPr>
        <w:t>i</w:t>
      </w:r>
      <w:r w:rsidRPr="00F03DCB">
        <w:rPr>
          <w:spacing w:val="-2"/>
        </w:rPr>
        <w:t>o</w:t>
      </w:r>
      <w:r w:rsidRPr="00F03DCB">
        <w:t xml:space="preserve">n en matière d’investissement </w:t>
      </w:r>
      <w:r w:rsidRPr="00F03DCB">
        <w:rPr>
          <w:i/>
        </w:rPr>
        <w:t>de minimis</w:t>
      </w:r>
      <w:r w:rsidRPr="00F03DCB">
        <w:t xml:space="preserve"> don</w:t>
      </w:r>
      <w:r w:rsidR="00F03DCB" w:rsidRPr="00F03DCB">
        <w:t>t</w:t>
      </w:r>
      <w:r w:rsidRPr="00F03DCB">
        <w:t xml:space="preserve"> il est question ci-dessus, il existe de l’incertitude quant à la manière et au déla</w:t>
      </w:r>
      <w:r w:rsidR="00F03DCB" w:rsidRPr="00F03DCB">
        <w:t>i</w:t>
      </w:r>
      <w:r w:rsidRPr="00F03DCB">
        <w:t xml:space="preserve"> de calcul du montant pertinent.</w:t>
      </w:r>
      <w:r w:rsidR="007309FF">
        <w:rPr>
          <w:spacing w:val="1"/>
        </w:rPr>
        <w:t xml:space="preserve"> </w:t>
      </w:r>
      <w:r w:rsidRPr="007425E2">
        <w:rPr>
          <w:spacing w:val="2"/>
        </w:rPr>
        <w:t xml:space="preserve">Afin d’atténuer les incertitudes, l'ABO a recommandé que l'alinéa 5 (7) h) soit modifié pour mieux expliquer que l'investissement en question est </w:t>
      </w:r>
      <w:r w:rsidR="007425E2" w:rsidRPr="007425E2">
        <w:rPr>
          <w:spacing w:val="2"/>
        </w:rPr>
        <w:t>avance</w:t>
      </w:r>
      <w:r w:rsidR="00F3693F" w:rsidRPr="007425E2">
        <w:rPr>
          <w:spacing w:val="2"/>
        </w:rPr>
        <w:t>, calculé</w:t>
      </w:r>
      <w:r w:rsidR="007425E2" w:rsidRPr="007425E2">
        <w:rPr>
          <w:spacing w:val="2"/>
        </w:rPr>
        <w:t>e</w:t>
      </w:r>
      <w:r w:rsidR="00F3693F" w:rsidRPr="007425E2">
        <w:rPr>
          <w:spacing w:val="2"/>
        </w:rPr>
        <w:t xml:space="preserve"> au début de la relation de franchisage, plutôt qu’un montant versé au cours d’une période d’exploitation initiale.</w:t>
      </w:r>
      <w:r w:rsidR="007309FF">
        <w:rPr>
          <w:spacing w:val="52"/>
        </w:rPr>
        <w:t xml:space="preserve"> </w:t>
      </w:r>
      <w:r w:rsidR="00F3693F" w:rsidRPr="007425E2">
        <w:rPr>
          <w:spacing w:val="-1"/>
        </w:rPr>
        <w:t>Cette modification se ferait comme suit :</w:t>
      </w:r>
    </w:p>
    <w:p w:rsidR="00047FAE" w:rsidRDefault="00047FAE">
      <w:pPr>
        <w:spacing w:line="240" w:lineRule="exact"/>
        <w:rPr>
          <w:sz w:val="24"/>
          <w:szCs w:val="24"/>
        </w:rPr>
      </w:pPr>
    </w:p>
    <w:p w:rsidR="00047FAE" w:rsidRDefault="00F3693F">
      <w:pPr>
        <w:pStyle w:val="BodyText"/>
        <w:ind w:left="1560" w:right="116"/>
        <w:jc w:val="both"/>
      </w:pPr>
      <w:r w:rsidRPr="007425E2">
        <w:rPr>
          <w:spacing w:val="1"/>
        </w:rPr>
        <w:t>« le franchisé éventuel est tenu de faire, en vertu d’un contrat ou autrement, un investissement pour faire l'acquisition et l'installation de la franchise moyennant un montant, tel que prévu par les parties, ou qui devrait être prévu par les parties au moment où le contrat de franchisage est conclu, plus élevé qu’un montant prescrit</w:t>
      </w:r>
      <w:r w:rsidR="007425E2" w:rsidRPr="007425E2">
        <w:rPr>
          <w:spacing w:val="1"/>
        </w:rPr>
        <w:t> »</w:t>
      </w:r>
      <w:r w:rsidRPr="007425E2">
        <w:rPr>
          <w:spacing w:val="1"/>
        </w:rPr>
        <w:t>[.]</w:t>
      </w:r>
    </w:p>
    <w:p w:rsidR="00047FAE" w:rsidRDefault="00047FAE">
      <w:pPr>
        <w:spacing w:line="240" w:lineRule="exact"/>
        <w:rPr>
          <w:sz w:val="24"/>
          <w:szCs w:val="24"/>
        </w:rPr>
      </w:pPr>
    </w:p>
    <w:p w:rsidR="00047FAE" w:rsidRDefault="00F3693F" w:rsidP="00950678">
      <w:pPr>
        <w:pStyle w:val="BodyText"/>
        <w:ind w:right="118"/>
        <w:jc w:val="both"/>
      </w:pPr>
      <w:r w:rsidRPr="007425E2">
        <w:t>Par ailleurs, puisque l’alinéa ainsi modifié ferait seulement référence aux coûts d’acquisition et d’install</w:t>
      </w:r>
      <w:r w:rsidR="007425E2" w:rsidRPr="007425E2">
        <w:t>a</w:t>
      </w:r>
      <w:r w:rsidRPr="007425E2">
        <w:t>tion (et non pas au coût d’exploitation au cours d’une période initiale), l’ABO recommande également que le</w:t>
      </w:r>
      <w:r w:rsidR="00E43CED" w:rsidRPr="007425E2">
        <w:t xml:space="preserve"> seuil de</w:t>
      </w:r>
      <w:r w:rsidR="00950678" w:rsidRPr="007425E2">
        <w:t xml:space="preserve"> </w:t>
      </w:r>
      <w:r w:rsidR="00E43CED" w:rsidRPr="007425E2">
        <w:t xml:space="preserve">5 </w:t>
      </w:r>
      <w:r w:rsidR="00E43CED" w:rsidRPr="007425E2">
        <w:rPr>
          <w:spacing w:val="-2"/>
        </w:rPr>
        <w:t>0</w:t>
      </w:r>
      <w:r w:rsidR="00E43CED" w:rsidRPr="007425E2">
        <w:t>00</w:t>
      </w:r>
      <w:r w:rsidR="00E43CED" w:rsidRPr="007425E2">
        <w:rPr>
          <w:spacing w:val="-2"/>
        </w:rPr>
        <w:t xml:space="preserve"> </w:t>
      </w:r>
      <w:r w:rsidR="00E43CED" w:rsidRPr="007425E2">
        <w:t>000</w:t>
      </w:r>
      <w:r w:rsidR="00E43CED" w:rsidRPr="007425E2">
        <w:rPr>
          <w:spacing w:val="-1"/>
        </w:rPr>
        <w:t xml:space="preserve"> $ soit </w:t>
      </w:r>
      <w:r w:rsidR="007425E2">
        <w:rPr>
          <w:spacing w:val="-1"/>
        </w:rPr>
        <w:t xml:space="preserve">abaissé </w:t>
      </w:r>
      <w:r w:rsidR="00E43CED" w:rsidRPr="007425E2">
        <w:rPr>
          <w:spacing w:val="-1"/>
        </w:rPr>
        <w:t xml:space="preserve">à </w:t>
      </w:r>
      <w:r w:rsidR="00E43CED" w:rsidRPr="007425E2">
        <w:t>3</w:t>
      </w:r>
      <w:r w:rsidR="00950678" w:rsidRPr="007425E2">
        <w:t> </w:t>
      </w:r>
      <w:r w:rsidR="00E43CED" w:rsidRPr="007425E2">
        <w:t>0</w:t>
      </w:r>
      <w:r w:rsidR="00E43CED" w:rsidRPr="007425E2">
        <w:rPr>
          <w:spacing w:val="-2"/>
        </w:rPr>
        <w:t>0</w:t>
      </w:r>
      <w:r w:rsidR="00E43CED" w:rsidRPr="007425E2">
        <w:t>0</w:t>
      </w:r>
      <w:r w:rsidR="00950678" w:rsidRPr="007425E2">
        <w:t> </w:t>
      </w:r>
      <w:r w:rsidR="00E43CED" w:rsidRPr="007425E2">
        <w:t>0</w:t>
      </w:r>
      <w:r w:rsidR="00E43CED" w:rsidRPr="007425E2">
        <w:rPr>
          <w:spacing w:val="-2"/>
        </w:rPr>
        <w:t>0</w:t>
      </w:r>
      <w:r w:rsidR="00E43CED" w:rsidRPr="007425E2">
        <w:t>0</w:t>
      </w:r>
      <w:r w:rsidR="00950678" w:rsidRPr="007425E2">
        <w:t> </w:t>
      </w:r>
      <w:r w:rsidR="00E43CED" w:rsidRPr="007425E2">
        <w:t>$.</w:t>
      </w:r>
    </w:p>
    <w:p w:rsidR="00047FAE" w:rsidRDefault="00047FAE">
      <w:pPr>
        <w:jc w:val="both"/>
        <w:sectPr w:rsidR="00047FAE">
          <w:pgSz w:w="12240" w:h="15840"/>
          <w:pgMar w:top="980" w:right="1320" w:bottom="920" w:left="1320" w:header="743" w:footer="731" w:gutter="0"/>
          <w:cols w:space="720"/>
        </w:sectPr>
      </w:pPr>
    </w:p>
    <w:p w:rsidR="00047FAE" w:rsidRDefault="00047FAE">
      <w:pPr>
        <w:spacing w:before="4" w:line="190" w:lineRule="exact"/>
        <w:rPr>
          <w:sz w:val="19"/>
          <w:szCs w:val="19"/>
        </w:rPr>
      </w:pPr>
    </w:p>
    <w:p w:rsidR="00047FAE" w:rsidRDefault="00047FAE">
      <w:pPr>
        <w:spacing w:line="200" w:lineRule="exact"/>
        <w:rPr>
          <w:sz w:val="20"/>
          <w:szCs w:val="20"/>
        </w:rPr>
      </w:pPr>
    </w:p>
    <w:p w:rsidR="00047FAE" w:rsidRDefault="00E14276" w:rsidP="00DF064B">
      <w:pPr>
        <w:pStyle w:val="Heading11"/>
        <w:ind w:right="2087"/>
        <w:jc w:val="both"/>
        <w:rPr>
          <w:b w:val="0"/>
          <w:bCs w:val="0"/>
        </w:rPr>
      </w:pPr>
      <w:bookmarkStart w:id="61" w:name="Bill_27,_Burden_Reduction_Act,_2016"/>
      <w:bookmarkStart w:id="62" w:name="_bookmark7"/>
      <w:bookmarkEnd w:id="61"/>
      <w:bookmarkEnd w:id="62"/>
      <w:r w:rsidRPr="007425E2">
        <w:t xml:space="preserve">Projet de loi 27, </w:t>
      </w:r>
      <w:r w:rsidR="00636452" w:rsidRPr="007425E2">
        <w:rPr>
          <w:i/>
        </w:rPr>
        <w:t>Loi de 2016 sur l’allègement du fardeau réglementaire</w:t>
      </w:r>
    </w:p>
    <w:p w:rsidR="00047FAE" w:rsidRDefault="00047FAE">
      <w:pPr>
        <w:spacing w:before="20" w:line="220" w:lineRule="exact"/>
      </w:pPr>
    </w:p>
    <w:p w:rsidR="00047FAE" w:rsidRDefault="00636452">
      <w:pPr>
        <w:pStyle w:val="BodyText"/>
        <w:ind w:right="117"/>
        <w:jc w:val="both"/>
      </w:pPr>
      <w:r w:rsidRPr="007425E2">
        <w:rPr>
          <w:spacing w:val="2"/>
        </w:rPr>
        <w:t xml:space="preserve">Le Conseil s'est penché sur </w:t>
      </w:r>
      <w:r w:rsidRPr="007425E2">
        <w:t>ce</w:t>
      </w:r>
      <w:r w:rsidRPr="007425E2">
        <w:rPr>
          <w:spacing w:val="-1"/>
        </w:rPr>
        <w:t>r</w:t>
      </w:r>
      <w:r w:rsidRPr="007425E2">
        <w:t>ta</w:t>
      </w:r>
      <w:r w:rsidRPr="007425E2">
        <w:rPr>
          <w:spacing w:val="-1"/>
        </w:rPr>
        <w:t>i</w:t>
      </w:r>
      <w:r w:rsidRPr="007425E2">
        <w:t>nes propositions</w:t>
      </w:r>
      <w:r w:rsidR="006F1873" w:rsidRPr="007425E2">
        <w:t xml:space="preserve"> concernant la LSAO, propositions que le ministère était en train d</w:t>
      </w:r>
      <w:r w:rsidR="007425E2" w:rsidRPr="007425E2">
        <w:t>’étudier pendant</w:t>
      </w:r>
      <w:r w:rsidR="006F1873" w:rsidRPr="007425E2">
        <w:t xml:space="preserve"> le Conseil était en période de formation.</w:t>
      </w:r>
      <w:r w:rsidR="007309FF">
        <w:rPr>
          <w:spacing w:val="20"/>
        </w:rPr>
        <w:t xml:space="preserve"> </w:t>
      </w:r>
      <w:r w:rsidR="006F1873" w:rsidRPr="007425E2">
        <w:rPr>
          <w:spacing w:val="2"/>
        </w:rPr>
        <w:t xml:space="preserve">Voici les propositions qui devraient aller de l’avant selon le Conseil. </w:t>
      </w:r>
      <w:r w:rsidR="007309FF">
        <w:rPr>
          <w:spacing w:val="1"/>
        </w:rPr>
        <w:t xml:space="preserve"> </w:t>
      </w:r>
      <w:r w:rsidR="006F1873" w:rsidRPr="007425E2">
        <w:rPr>
          <w:spacing w:val="2"/>
        </w:rPr>
        <w:t xml:space="preserve">Ces propositions de modifications feront partie du projet de loi 27, </w:t>
      </w:r>
      <w:r w:rsidR="006F1873" w:rsidRPr="007425E2">
        <w:rPr>
          <w:i/>
          <w:spacing w:val="2"/>
        </w:rPr>
        <w:t>Loi de 2016 sur l’allègement du fardeau réglementaire</w:t>
      </w:r>
      <w:r w:rsidR="006F1873" w:rsidRPr="007425E2">
        <w:rPr>
          <w:spacing w:val="2"/>
        </w:rPr>
        <w:t xml:space="preserve"> (projet de loi 27). Au moment de la rédaction de ce rapport, le projet de loi 27 </w:t>
      </w:r>
      <w:r w:rsidR="00782901" w:rsidRPr="007425E2">
        <w:rPr>
          <w:spacing w:val="2"/>
        </w:rPr>
        <w:t>en était à l‘étape du débat en deuxième lecture.</w:t>
      </w:r>
    </w:p>
    <w:p w:rsidR="00047FAE" w:rsidRDefault="00047FAE">
      <w:pPr>
        <w:spacing w:line="240" w:lineRule="exact"/>
        <w:rPr>
          <w:sz w:val="24"/>
          <w:szCs w:val="24"/>
        </w:rPr>
      </w:pPr>
    </w:p>
    <w:p w:rsidR="00047FAE" w:rsidRDefault="00782901" w:rsidP="00DF064B">
      <w:pPr>
        <w:pStyle w:val="BodyText"/>
        <w:numPr>
          <w:ilvl w:val="0"/>
          <w:numId w:val="23"/>
        </w:numPr>
        <w:tabs>
          <w:tab w:val="left" w:pos="840"/>
        </w:tabs>
        <w:ind w:left="840" w:right="3079"/>
        <w:jc w:val="both"/>
      </w:pPr>
      <w:bookmarkStart w:id="63" w:name="1._Quorum_at_shareholder_meetings"/>
      <w:bookmarkEnd w:id="63"/>
      <w:r w:rsidRPr="007425E2">
        <w:t>Quorum aux assemblées des actionnaires</w:t>
      </w:r>
    </w:p>
    <w:p w:rsidR="00047FAE" w:rsidRDefault="00047FAE">
      <w:pPr>
        <w:spacing w:line="240" w:lineRule="exact"/>
        <w:rPr>
          <w:sz w:val="24"/>
          <w:szCs w:val="24"/>
        </w:rPr>
      </w:pPr>
    </w:p>
    <w:p w:rsidR="00047FAE" w:rsidRDefault="00950678">
      <w:pPr>
        <w:pStyle w:val="BodyText"/>
        <w:ind w:right="116"/>
        <w:jc w:val="both"/>
      </w:pPr>
      <w:r w:rsidRPr="007425E2">
        <w:rPr>
          <w:spacing w:val="2"/>
        </w:rPr>
        <w:t xml:space="preserve">La </w:t>
      </w:r>
      <w:r w:rsidRPr="007425E2">
        <w:rPr>
          <w:i/>
          <w:spacing w:val="2"/>
        </w:rPr>
        <w:t xml:space="preserve">Loi canadienne sur les sociétés par actions </w:t>
      </w:r>
      <w:r w:rsidRPr="007425E2">
        <w:rPr>
          <w:spacing w:val="2"/>
        </w:rPr>
        <w:t>(</w:t>
      </w:r>
      <w:r w:rsidR="00E47CE3" w:rsidRPr="007425E2">
        <w:rPr>
          <w:spacing w:val="2"/>
        </w:rPr>
        <w:t>article</w:t>
      </w:r>
      <w:r w:rsidR="007309FF">
        <w:rPr>
          <w:spacing w:val="8"/>
        </w:rPr>
        <w:t xml:space="preserve"> </w:t>
      </w:r>
      <w:r w:rsidRPr="007425E2">
        <w:rPr>
          <w:spacing w:val="1"/>
        </w:rPr>
        <w:t xml:space="preserve">139 (1)) prévoit (sauf disposition contraire des règlements administratifs) que le </w:t>
      </w:r>
      <w:r w:rsidRPr="007425E2">
        <w:rPr>
          <w:spacing w:val="-2"/>
        </w:rPr>
        <w:t>q</w:t>
      </w:r>
      <w:r w:rsidRPr="007425E2">
        <w:t>uo</w:t>
      </w:r>
      <w:r w:rsidRPr="007425E2">
        <w:rPr>
          <w:spacing w:val="-1"/>
        </w:rPr>
        <w:t>r</w:t>
      </w:r>
      <w:r w:rsidRPr="007425E2">
        <w:t xml:space="preserve">um est atteint à une assemblée d’actionnaires </w:t>
      </w:r>
      <w:r w:rsidRPr="007425E2">
        <w:rPr>
          <w:i/>
        </w:rPr>
        <w:t>quel que soit le nombre de personnes effectivement présentes</w:t>
      </w:r>
      <w:r w:rsidRPr="007425E2">
        <w:t xml:space="preserve"> lorsque les détenteurs d’actions disposant de plus de cinquante pour cent des voix sont présents ou représentés.</w:t>
      </w:r>
      <w:r w:rsidR="007309FF">
        <w:rPr>
          <w:spacing w:val="51"/>
        </w:rPr>
        <w:t xml:space="preserve"> </w:t>
      </w:r>
      <w:r w:rsidR="00B921A2" w:rsidRPr="007425E2">
        <w:rPr>
          <w:spacing w:val="2"/>
        </w:rPr>
        <w:t>En ce moment, la LSAO ne comprend pas la formulation « peu importe le nombre de personnes effectivement présentes à l’assemblée ».</w:t>
      </w:r>
      <w:r w:rsidR="007309FF">
        <w:rPr>
          <w:spacing w:val="8"/>
        </w:rPr>
        <w:t xml:space="preserve"> </w:t>
      </w:r>
      <w:r w:rsidR="00EB247A" w:rsidRPr="007425E2">
        <w:t>Grâce à l</w:t>
      </w:r>
      <w:r w:rsidR="00B921A2" w:rsidRPr="007425E2">
        <w:t>’</w:t>
      </w:r>
      <w:r w:rsidR="00EB247A" w:rsidRPr="007425E2">
        <w:t>ajout de cette formulation, la LSAO éliminerait les possibilités d</w:t>
      </w:r>
      <w:r w:rsidR="006A0E18" w:rsidRPr="007425E2">
        <w:t>e recours abusifs si des actionnaires minoritaires dissidents étaient exclus au moyen du vote à une assemblée, sortaient de l’assemblée et ne laissaient qu’un seul actionnaire à l’assemblée.</w:t>
      </w:r>
    </w:p>
    <w:p w:rsidR="00047FAE" w:rsidRDefault="00047FAE">
      <w:pPr>
        <w:spacing w:line="240" w:lineRule="exact"/>
        <w:rPr>
          <w:sz w:val="24"/>
          <w:szCs w:val="24"/>
        </w:rPr>
      </w:pPr>
    </w:p>
    <w:p w:rsidR="00047FAE" w:rsidRDefault="006A0E18" w:rsidP="00DF064B">
      <w:pPr>
        <w:pStyle w:val="BodyText"/>
        <w:numPr>
          <w:ilvl w:val="0"/>
          <w:numId w:val="23"/>
        </w:numPr>
        <w:tabs>
          <w:tab w:val="left" w:pos="840"/>
        </w:tabs>
        <w:ind w:left="840" w:right="3221"/>
        <w:jc w:val="both"/>
      </w:pPr>
      <w:bookmarkStart w:id="64" w:name="2._Place_of_director_meetings"/>
      <w:bookmarkEnd w:id="64"/>
      <w:r w:rsidRPr="007425E2">
        <w:t>Lieu des réunions d’administrateurs</w:t>
      </w:r>
    </w:p>
    <w:p w:rsidR="00047FAE" w:rsidRDefault="00047FAE">
      <w:pPr>
        <w:spacing w:line="240" w:lineRule="exact"/>
        <w:rPr>
          <w:sz w:val="24"/>
          <w:szCs w:val="24"/>
        </w:rPr>
      </w:pPr>
    </w:p>
    <w:p w:rsidR="00047FAE" w:rsidRDefault="006A0E18">
      <w:pPr>
        <w:pStyle w:val="BodyText"/>
        <w:ind w:right="116"/>
        <w:jc w:val="both"/>
      </w:pPr>
      <w:r w:rsidRPr="007425E2">
        <w:rPr>
          <w:spacing w:val="2"/>
        </w:rPr>
        <w:t xml:space="preserve">Selon la LSAO, </w:t>
      </w:r>
      <w:r w:rsidR="005E5FBC" w:rsidRPr="007425E2">
        <w:rPr>
          <w:spacing w:val="2"/>
        </w:rPr>
        <w:t xml:space="preserve">les réunions d’administrateurs doivent avoir lieu </w:t>
      </w:r>
      <w:r w:rsidR="00B157CA" w:rsidRPr="007425E2">
        <w:rPr>
          <w:spacing w:val="2"/>
        </w:rPr>
        <w:t>au siège social dont l’adresse est précisée d</w:t>
      </w:r>
      <w:r w:rsidR="007425E2" w:rsidRPr="007425E2">
        <w:rPr>
          <w:spacing w:val="2"/>
        </w:rPr>
        <w:t>ans ses statuts (sous réserve d’</w:t>
      </w:r>
      <w:r w:rsidR="00B157CA" w:rsidRPr="007425E2">
        <w:rPr>
          <w:spacing w:val="2"/>
        </w:rPr>
        <w:t>un</w:t>
      </w:r>
      <w:r w:rsidR="007425E2" w:rsidRPr="007425E2">
        <w:rPr>
          <w:spacing w:val="2"/>
        </w:rPr>
        <w:t>e disposition de ses règ</w:t>
      </w:r>
      <w:r w:rsidR="00B157CA" w:rsidRPr="007425E2">
        <w:rPr>
          <w:spacing w:val="2"/>
        </w:rPr>
        <w:t>lements administratifs précisant que les réunions peuvent avoir lieu n’importe où, mais</w:t>
      </w:r>
      <w:r w:rsidR="007425E2" w:rsidRPr="007425E2">
        <w:rPr>
          <w:spacing w:val="2"/>
        </w:rPr>
        <w:t xml:space="preserve"> </w:t>
      </w:r>
      <w:r w:rsidR="00B157CA" w:rsidRPr="007425E2">
        <w:rPr>
          <w:spacing w:val="2"/>
        </w:rPr>
        <w:t xml:space="preserve">même dans un tel cas, la majorité des réunions doit avoir lieu au </w:t>
      </w:r>
      <w:r w:rsidR="00B157CA" w:rsidRPr="007425E2">
        <w:rPr>
          <w:spacing w:val="-1"/>
        </w:rPr>
        <w:t>C</w:t>
      </w:r>
      <w:r w:rsidR="00B157CA" w:rsidRPr="007425E2">
        <w:t>ana</w:t>
      </w:r>
      <w:r w:rsidR="00B157CA" w:rsidRPr="007425E2">
        <w:rPr>
          <w:spacing w:val="-2"/>
        </w:rPr>
        <w:t>d</w:t>
      </w:r>
      <w:r w:rsidR="00B157CA" w:rsidRPr="007425E2">
        <w:t>a).</w:t>
      </w:r>
      <w:r w:rsidR="007309FF">
        <w:rPr>
          <w:spacing w:val="27"/>
        </w:rPr>
        <w:t xml:space="preserve"> </w:t>
      </w:r>
      <w:r w:rsidR="00B157CA" w:rsidRPr="007425E2">
        <w:rPr>
          <w:spacing w:val="-1"/>
        </w:rPr>
        <w:t xml:space="preserve">Cette disposition serait modifiée pour indiquer que les administrateurs </w:t>
      </w:r>
      <w:r w:rsidR="007F1C34" w:rsidRPr="007425E2">
        <w:rPr>
          <w:spacing w:val="-1"/>
        </w:rPr>
        <w:t>peuvent se réunir</w:t>
      </w:r>
      <w:r w:rsidR="00B157CA" w:rsidRPr="007425E2">
        <w:rPr>
          <w:spacing w:val="-1"/>
        </w:rPr>
        <w:t xml:space="preserve"> n’importe où, à moins d’indication contraire dans </w:t>
      </w:r>
      <w:r w:rsidR="007F1C34" w:rsidRPr="007425E2">
        <w:rPr>
          <w:spacing w:val="-1"/>
        </w:rPr>
        <w:t>ses statuts ou s</w:t>
      </w:r>
      <w:r w:rsidR="00B157CA" w:rsidRPr="007425E2">
        <w:rPr>
          <w:spacing w:val="-1"/>
        </w:rPr>
        <w:t>es règlements administratifs</w:t>
      </w:r>
      <w:r w:rsidR="007F1C34" w:rsidRPr="007425E2">
        <w:rPr>
          <w:spacing w:val="-1"/>
        </w:rPr>
        <w:t xml:space="preserve"> (l’</w:t>
      </w:r>
      <w:r w:rsidR="00E47CE3" w:rsidRPr="007425E2">
        <w:rPr>
          <w:spacing w:val="-1"/>
        </w:rPr>
        <w:t>article</w:t>
      </w:r>
      <w:r w:rsidR="007309FF">
        <w:rPr>
          <w:spacing w:val="29"/>
        </w:rPr>
        <w:t xml:space="preserve"> </w:t>
      </w:r>
      <w:r w:rsidR="007F1C34" w:rsidRPr="007425E2">
        <w:t xml:space="preserve">126 </w:t>
      </w:r>
      <w:r w:rsidR="007F1C34" w:rsidRPr="007425E2">
        <w:rPr>
          <w:spacing w:val="-1"/>
        </w:rPr>
        <w:t>(</w:t>
      </w:r>
      <w:r w:rsidR="007F1C34" w:rsidRPr="007425E2">
        <w:t>1)</w:t>
      </w:r>
      <w:r w:rsidR="007F1C34" w:rsidRPr="007425E2">
        <w:rPr>
          <w:spacing w:val="28"/>
        </w:rPr>
        <w:t xml:space="preserve"> et </w:t>
      </w:r>
      <w:r w:rsidR="007F1C34" w:rsidRPr="007425E2">
        <w:rPr>
          <w:spacing w:val="-1"/>
        </w:rPr>
        <w:t>(</w:t>
      </w:r>
      <w:r w:rsidR="007F1C34" w:rsidRPr="007425E2">
        <w:rPr>
          <w:spacing w:val="-2"/>
        </w:rPr>
        <w:t>2) serait abrogé et remplacé;</w:t>
      </w:r>
      <w:r w:rsidR="007F1C34" w:rsidRPr="007425E2">
        <w:t xml:space="preserve"> l’</w:t>
      </w:r>
      <w:r w:rsidR="00E47CE3" w:rsidRPr="007425E2">
        <w:t>article</w:t>
      </w:r>
      <w:r w:rsidR="007F1C34" w:rsidRPr="007425E2">
        <w:rPr>
          <w:spacing w:val="-2"/>
        </w:rPr>
        <w:t xml:space="preserve"> </w:t>
      </w:r>
      <w:r w:rsidR="007F1C34" w:rsidRPr="007425E2">
        <w:t>1</w:t>
      </w:r>
      <w:r w:rsidR="007F1C34" w:rsidRPr="007425E2">
        <w:rPr>
          <w:spacing w:val="-2"/>
        </w:rPr>
        <w:t>2</w:t>
      </w:r>
      <w:r w:rsidR="007F1C34" w:rsidRPr="007425E2">
        <w:t xml:space="preserve">6 </w:t>
      </w:r>
      <w:r w:rsidR="007F1C34" w:rsidRPr="007425E2">
        <w:rPr>
          <w:spacing w:val="-1"/>
        </w:rPr>
        <w:t>(</w:t>
      </w:r>
      <w:r w:rsidR="007F1C34" w:rsidRPr="007425E2">
        <w:rPr>
          <w:spacing w:val="-2"/>
        </w:rPr>
        <w:t>1</w:t>
      </w:r>
      <w:r w:rsidR="007F1C34" w:rsidRPr="007425E2">
        <w:t>4)</w:t>
      </w:r>
      <w:r w:rsidR="007F1C34" w:rsidRPr="007425E2">
        <w:rPr>
          <w:spacing w:val="-1"/>
        </w:rPr>
        <w:t xml:space="preserve"> serait abrogé)</w:t>
      </w:r>
      <w:r w:rsidR="007F1C34" w:rsidRPr="007425E2">
        <w:t>.</w:t>
      </w:r>
    </w:p>
    <w:p w:rsidR="00047FAE" w:rsidRDefault="00047FAE">
      <w:pPr>
        <w:spacing w:line="240" w:lineRule="exact"/>
        <w:rPr>
          <w:sz w:val="24"/>
          <w:szCs w:val="24"/>
        </w:rPr>
      </w:pPr>
    </w:p>
    <w:p w:rsidR="00047FAE" w:rsidRDefault="007F1C34" w:rsidP="00DF064B">
      <w:pPr>
        <w:pStyle w:val="BodyText"/>
        <w:numPr>
          <w:ilvl w:val="0"/>
          <w:numId w:val="23"/>
        </w:numPr>
        <w:tabs>
          <w:tab w:val="left" w:pos="840"/>
        </w:tabs>
        <w:ind w:left="840" w:right="3221"/>
        <w:jc w:val="both"/>
      </w:pPr>
      <w:bookmarkStart w:id="65" w:name="3._Quorum_at_directors'_meetings"/>
      <w:bookmarkEnd w:id="65"/>
      <w:r w:rsidRPr="007425E2">
        <w:t>Quo</w:t>
      </w:r>
      <w:r w:rsidRPr="007425E2">
        <w:rPr>
          <w:spacing w:val="-1"/>
        </w:rPr>
        <w:t>r</w:t>
      </w:r>
      <w:r w:rsidRPr="007425E2">
        <w:rPr>
          <w:spacing w:val="-2"/>
        </w:rPr>
        <w:t>u</w:t>
      </w:r>
      <w:r w:rsidRPr="007425E2">
        <w:t>m aux réunions d’administrateurs</w:t>
      </w:r>
    </w:p>
    <w:p w:rsidR="00047FAE" w:rsidRDefault="00047FAE">
      <w:pPr>
        <w:spacing w:line="240" w:lineRule="exact"/>
        <w:rPr>
          <w:sz w:val="24"/>
          <w:szCs w:val="24"/>
        </w:rPr>
      </w:pPr>
    </w:p>
    <w:p w:rsidR="00047FAE" w:rsidRDefault="000623E0">
      <w:pPr>
        <w:pStyle w:val="BodyText"/>
        <w:ind w:right="118"/>
        <w:jc w:val="both"/>
      </w:pPr>
      <w:r w:rsidRPr="007425E2">
        <w:rPr>
          <w:spacing w:val="2"/>
        </w:rPr>
        <w:t>Selon la LSAO, le quorum d’une réunion du conseil d’administration ne doit être en aucun cas inférieur aux deux cinquièmes du nombre fixe ou du nombre minimal d’administrateurs, selon le cas (</w:t>
      </w:r>
      <w:r w:rsidR="00E47CE3" w:rsidRPr="007425E2">
        <w:rPr>
          <w:spacing w:val="2"/>
        </w:rPr>
        <w:t>article</w:t>
      </w:r>
      <w:r w:rsidRPr="007425E2">
        <w:rPr>
          <w:spacing w:val="2"/>
        </w:rPr>
        <w:t xml:space="preserve"> </w:t>
      </w:r>
      <w:r w:rsidR="007309FF">
        <w:t xml:space="preserve"> 126</w:t>
      </w:r>
      <w:r>
        <w:t xml:space="preserve"> </w:t>
      </w:r>
      <w:r w:rsidR="007309FF">
        <w:rPr>
          <w:spacing w:val="-1"/>
        </w:rPr>
        <w:t>(</w:t>
      </w:r>
      <w:r w:rsidR="007309FF">
        <w:t>3</w:t>
      </w:r>
      <w:r w:rsidR="007309FF">
        <w:rPr>
          <w:spacing w:val="-1"/>
        </w:rPr>
        <w:t>))</w:t>
      </w:r>
      <w:r w:rsidR="007309FF">
        <w:t>.</w:t>
      </w:r>
    </w:p>
    <w:p w:rsidR="00047FAE" w:rsidRDefault="00047FAE">
      <w:pPr>
        <w:spacing w:line="240" w:lineRule="exact"/>
        <w:rPr>
          <w:sz w:val="24"/>
          <w:szCs w:val="24"/>
        </w:rPr>
      </w:pPr>
    </w:p>
    <w:p w:rsidR="00047FAE" w:rsidRDefault="004C28F2">
      <w:pPr>
        <w:pStyle w:val="BodyText"/>
        <w:ind w:right="116"/>
        <w:jc w:val="both"/>
      </w:pPr>
      <w:r w:rsidRPr="007425E2">
        <w:rPr>
          <w:spacing w:val="2"/>
        </w:rPr>
        <w:t xml:space="preserve">La LCSA permet à une société d'établir le </w:t>
      </w:r>
      <w:r w:rsidRPr="007425E2">
        <w:rPr>
          <w:spacing w:val="-2"/>
        </w:rPr>
        <w:t>q</w:t>
      </w:r>
      <w:r w:rsidRPr="007425E2">
        <w:t>uo</w:t>
      </w:r>
      <w:r w:rsidRPr="007425E2">
        <w:rPr>
          <w:spacing w:val="-1"/>
        </w:rPr>
        <w:t>r</w:t>
      </w:r>
      <w:r w:rsidRPr="007425E2">
        <w:rPr>
          <w:spacing w:val="-2"/>
        </w:rPr>
        <w:t>u</w:t>
      </w:r>
      <w:r w:rsidRPr="007425E2">
        <w:t>m des réunions du conseil d’administration à n’importe quel nombre dans ses statuts ou ses règlements administratifs.</w:t>
      </w:r>
      <w:r w:rsidR="007309FF">
        <w:rPr>
          <w:spacing w:val="55"/>
        </w:rPr>
        <w:t xml:space="preserve"> </w:t>
      </w:r>
      <w:r w:rsidRPr="007425E2">
        <w:t>Si les statuts ou les règlements administratifs ne prévoient rien à ce sujet, le quorum est alo</w:t>
      </w:r>
      <w:r w:rsidR="007425E2" w:rsidRPr="007425E2">
        <w:t>r</w:t>
      </w:r>
      <w:r w:rsidRPr="007425E2">
        <w:t>s composé d’une majorité d’administrateurs ou du nombre minimal d’administrateurs requis en fonction des statuts.</w:t>
      </w:r>
      <w:r w:rsidR="007309FF">
        <w:t xml:space="preserve"> </w:t>
      </w:r>
      <w:r w:rsidRPr="007425E2">
        <w:rPr>
          <w:spacing w:val="-1"/>
        </w:rPr>
        <w:t>(</w:t>
      </w:r>
      <w:r w:rsidR="00E47CE3" w:rsidRPr="007425E2">
        <w:rPr>
          <w:spacing w:val="-1"/>
        </w:rPr>
        <w:t>article</w:t>
      </w:r>
      <w:r w:rsidR="007309FF">
        <w:t xml:space="preserve"> </w:t>
      </w:r>
      <w:r w:rsidR="007309FF">
        <w:rPr>
          <w:spacing w:val="-2"/>
        </w:rPr>
        <w:t>1</w:t>
      </w:r>
      <w:r w:rsidR="007309FF">
        <w:t>14</w:t>
      </w:r>
      <w:r>
        <w:t xml:space="preserve"> </w:t>
      </w:r>
      <w:r w:rsidR="007309FF">
        <w:rPr>
          <w:spacing w:val="-1"/>
        </w:rPr>
        <w:t>(</w:t>
      </w:r>
      <w:r w:rsidR="007309FF">
        <w:t>2</w:t>
      </w:r>
      <w:r w:rsidR="007309FF">
        <w:rPr>
          <w:spacing w:val="-1"/>
        </w:rPr>
        <w:t>))</w:t>
      </w:r>
      <w:r w:rsidR="007309FF">
        <w:t>.</w:t>
      </w:r>
    </w:p>
    <w:p w:rsidR="00047FAE" w:rsidRDefault="00047FAE">
      <w:pPr>
        <w:spacing w:line="240" w:lineRule="exact"/>
        <w:rPr>
          <w:sz w:val="24"/>
          <w:szCs w:val="24"/>
        </w:rPr>
      </w:pPr>
    </w:p>
    <w:p w:rsidR="00047FAE" w:rsidRDefault="004C28F2">
      <w:pPr>
        <w:pStyle w:val="BodyText"/>
        <w:ind w:right="117"/>
        <w:jc w:val="both"/>
      </w:pPr>
      <w:r w:rsidRPr="007425E2">
        <w:rPr>
          <w:spacing w:val="2"/>
        </w:rPr>
        <w:t>Conformément à ce projet de loi, la LSAO pourrait être modifiée pour</w:t>
      </w:r>
      <w:r w:rsidR="007F21F8" w:rsidRPr="007425E2">
        <w:rPr>
          <w:spacing w:val="2"/>
        </w:rPr>
        <w:t xml:space="preserve"> indiquer que sous réserve de ses statuts ou de ses règlements administratifs (et l’</w:t>
      </w:r>
      <w:r w:rsidR="00E47CE3" w:rsidRPr="007425E2">
        <w:rPr>
          <w:spacing w:val="2"/>
        </w:rPr>
        <w:t>article</w:t>
      </w:r>
      <w:r w:rsidR="007F21F8" w:rsidRPr="007425E2">
        <w:rPr>
          <w:spacing w:val="2"/>
        </w:rPr>
        <w:t xml:space="preserve"> </w:t>
      </w:r>
      <w:r w:rsidR="007F21F8" w:rsidRPr="007425E2">
        <w:t xml:space="preserve">126 (4)), une majorité d’administrateurs ou un nombre minimal d’administrateurs requis par les </w:t>
      </w:r>
      <w:r w:rsidR="007F21F8" w:rsidRPr="007425E2">
        <w:lastRenderedPageBreak/>
        <w:t xml:space="preserve">statuts constitue le </w:t>
      </w:r>
      <w:r w:rsidR="007F21F8" w:rsidRPr="007425E2">
        <w:rPr>
          <w:spacing w:val="-2"/>
        </w:rPr>
        <w:t>q</w:t>
      </w:r>
      <w:r w:rsidR="007F21F8" w:rsidRPr="007425E2">
        <w:t>uo</w:t>
      </w:r>
      <w:r w:rsidR="007F21F8" w:rsidRPr="007425E2">
        <w:rPr>
          <w:spacing w:val="-1"/>
        </w:rPr>
        <w:t>r</w:t>
      </w:r>
      <w:r w:rsidR="007F21F8" w:rsidRPr="007425E2">
        <w:rPr>
          <w:spacing w:val="-2"/>
        </w:rPr>
        <w:t>u</w:t>
      </w:r>
      <w:r w:rsidR="007F21F8" w:rsidRPr="007425E2">
        <w:t>m à toute réunion d’administrateurs.</w:t>
      </w:r>
    </w:p>
    <w:p w:rsidR="00047FAE" w:rsidRDefault="00047FAE">
      <w:pPr>
        <w:spacing w:line="240" w:lineRule="exact"/>
        <w:rPr>
          <w:sz w:val="24"/>
          <w:szCs w:val="24"/>
        </w:rPr>
      </w:pPr>
    </w:p>
    <w:p w:rsidR="00047FAE" w:rsidRDefault="00EC70D4">
      <w:pPr>
        <w:pStyle w:val="BodyText"/>
        <w:ind w:right="1877"/>
        <w:jc w:val="both"/>
      </w:pPr>
      <w:r w:rsidRPr="007425E2">
        <w:rPr>
          <w:spacing w:val="2"/>
        </w:rPr>
        <w:t>Cette modification aurait aussi pour effet de faire en sorte que la LSAO se conforme à l</w:t>
      </w:r>
      <w:r w:rsidR="00E3288B" w:rsidRPr="007425E2">
        <w:rPr>
          <w:spacing w:val="2"/>
        </w:rPr>
        <w:t xml:space="preserve">a </w:t>
      </w:r>
      <w:r w:rsidR="00E3288B" w:rsidRPr="007425E2">
        <w:rPr>
          <w:i/>
          <w:spacing w:val="2"/>
        </w:rPr>
        <w:t xml:space="preserve">Loi sur les organisations sans but lucratif </w:t>
      </w:r>
      <w:r w:rsidR="00E3288B" w:rsidRPr="007425E2">
        <w:rPr>
          <w:spacing w:val="2"/>
        </w:rPr>
        <w:t>(LOSBL) (</w:t>
      </w:r>
      <w:r w:rsidR="00E47CE3" w:rsidRPr="007425E2">
        <w:rPr>
          <w:spacing w:val="2"/>
        </w:rPr>
        <w:t>article</w:t>
      </w:r>
      <w:r w:rsidR="007309FF">
        <w:t xml:space="preserve"> 3</w:t>
      </w:r>
      <w:r w:rsidR="007309FF">
        <w:rPr>
          <w:spacing w:val="-2"/>
        </w:rPr>
        <w:t>4</w:t>
      </w:r>
      <w:r w:rsidR="00E3288B">
        <w:rPr>
          <w:spacing w:val="-2"/>
        </w:rPr>
        <w:t xml:space="preserve"> </w:t>
      </w:r>
      <w:r w:rsidR="007309FF">
        <w:rPr>
          <w:spacing w:val="-1"/>
        </w:rPr>
        <w:t>(</w:t>
      </w:r>
      <w:r w:rsidR="007309FF">
        <w:t>2</w:t>
      </w:r>
      <w:r w:rsidR="007309FF">
        <w:rPr>
          <w:spacing w:val="-1"/>
        </w:rPr>
        <w:t>))</w:t>
      </w:r>
      <w:r w:rsidR="007309FF">
        <w:t>.</w:t>
      </w:r>
    </w:p>
    <w:p w:rsidR="00047FAE" w:rsidRDefault="00047FAE">
      <w:pPr>
        <w:spacing w:line="240" w:lineRule="exact"/>
        <w:rPr>
          <w:sz w:val="24"/>
          <w:szCs w:val="24"/>
        </w:rPr>
      </w:pPr>
    </w:p>
    <w:p w:rsidR="00047FAE" w:rsidRDefault="00E3288B" w:rsidP="00DF064B">
      <w:pPr>
        <w:pStyle w:val="BodyText"/>
        <w:numPr>
          <w:ilvl w:val="0"/>
          <w:numId w:val="23"/>
        </w:numPr>
        <w:tabs>
          <w:tab w:val="left" w:pos="840"/>
        </w:tabs>
        <w:ind w:left="840" w:right="811"/>
        <w:jc w:val="both"/>
      </w:pPr>
      <w:bookmarkStart w:id="66" w:name="4._Email_addresses_on_securities_registe"/>
      <w:bookmarkEnd w:id="66"/>
      <w:r w:rsidRPr="007425E2">
        <w:t xml:space="preserve">Adresses électroniques </w:t>
      </w:r>
      <w:r w:rsidR="00302598" w:rsidRPr="007425E2">
        <w:t>versées au registre des valeurs mobilières</w:t>
      </w:r>
    </w:p>
    <w:p w:rsidR="00047FAE" w:rsidRDefault="00047FAE">
      <w:pPr>
        <w:spacing w:line="240" w:lineRule="exact"/>
        <w:rPr>
          <w:sz w:val="24"/>
          <w:szCs w:val="24"/>
        </w:rPr>
      </w:pPr>
    </w:p>
    <w:p w:rsidR="00047FAE" w:rsidRDefault="00302598" w:rsidP="00302598">
      <w:pPr>
        <w:pStyle w:val="BodyText"/>
        <w:ind w:right="117"/>
        <w:jc w:val="both"/>
      </w:pPr>
      <w:r w:rsidRPr="007425E2">
        <w:rPr>
          <w:spacing w:val="2"/>
        </w:rPr>
        <w:t xml:space="preserve">En ce moment, la LSAO exige d’une société qu’elle inscrive à son registre le nom et les adresses des détenteurs de ses valeurs mobilières. </w:t>
      </w:r>
      <w:r w:rsidR="007309FF">
        <w:rPr>
          <w:spacing w:val="42"/>
        </w:rPr>
        <w:t xml:space="preserve"> </w:t>
      </w:r>
      <w:r w:rsidRPr="007425E2">
        <w:t>Elle n’exige pas que les sociétés répertorient les adresses électroniques de leurs détenteurs de valeurs mobilières.</w:t>
      </w:r>
      <w:r w:rsidR="007309FF">
        <w:rPr>
          <w:spacing w:val="44"/>
        </w:rPr>
        <w:t xml:space="preserve"> </w:t>
      </w:r>
      <w:r w:rsidRPr="007425E2">
        <w:rPr>
          <w:spacing w:val="2"/>
        </w:rPr>
        <w:t>La LSAO (</w:t>
      </w:r>
      <w:r w:rsidR="00E47CE3" w:rsidRPr="007425E2">
        <w:rPr>
          <w:spacing w:val="2"/>
        </w:rPr>
        <w:t>article</w:t>
      </w:r>
      <w:r w:rsidR="007309FF">
        <w:rPr>
          <w:spacing w:val="46"/>
        </w:rPr>
        <w:t xml:space="preserve"> </w:t>
      </w:r>
      <w:r w:rsidRPr="007425E2">
        <w:rPr>
          <w:spacing w:val="-2"/>
        </w:rPr>
        <w:t>141) serait modifiée pour exiger que les sociétés répertorient les adresses électroniques de leurs détenteurs de valeurs mobilières.</w:t>
      </w:r>
    </w:p>
    <w:p w:rsidR="00047FAE" w:rsidRDefault="00047FAE">
      <w:pPr>
        <w:spacing w:line="240" w:lineRule="exact"/>
        <w:rPr>
          <w:sz w:val="24"/>
          <w:szCs w:val="24"/>
        </w:rPr>
      </w:pPr>
    </w:p>
    <w:p w:rsidR="00047FAE" w:rsidRDefault="003F33B8" w:rsidP="00DF064B">
      <w:pPr>
        <w:pStyle w:val="BodyText"/>
        <w:numPr>
          <w:ilvl w:val="0"/>
          <w:numId w:val="23"/>
        </w:numPr>
        <w:tabs>
          <w:tab w:val="left" w:pos="840"/>
        </w:tabs>
        <w:ind w:left="840" w:right="1945"/>
        <w:jc w:val="both"/>
      </w:pPr>
      <w:bookmarkStart w:id="67" w:name="5._Repeal_of_the_Bulk_Sales_Act_(the_BSA"/>
      <w:bookmarkEnd w:id="67"/>
      <w:r w:rsidRPr="007425E2">
        <w:rPr>
          <w:spacing w:val="-1"/>
        </w:rPr>
        <w:t xml:space="preserve">Abrogation de la </w:t>
      </w:r>
      <w:r w:rsidRPr="007425E2">
        <w:rPr>
          <w:i/>
          <w:spacing w:val="-1"/>
        </w:rPr>
        <w:t xml:space="preserve">Loi sur la vente en bloc </w:t>
      </w:r>
      <w:r w:rsidRPr="007425E2">
        <w:rPr>
          <w:spacing w:val="-1"/>
        </w:rPr>
        <w:t>(la LVB)</w:t>
      </w:r>
    </w:p>
    <w:p w:rsidR="00047FAE" w:rsidRDefault="00047FAE">
      <w:pPr>
        <w:spacing w:line="240" w:lineRule="exact"/>
        <w:rPr>
          <w:sz w:val="24"/>
          <w:szCs w:val="24"/>
        </w:rPr>
      </w:pPr>
    </w:p>
    <w:p w:rsidR="00047FAE" w:rsidRDefault="003F33B8">
      <w:pPr>
        <w:pStyle w:val="BodyText"/>
        <w:ind w:right="117"/>
        <w:jc w:val="both"/>
      </w:pPr>
      <w:r w:rsidRPr="007425E2">
        <w:t>L’Onta</w:t>
      </w:r>
      <w:r w:rsidRPr="007425E2">
        <w:rPr>
          <w:spacing w:val="-1"/>
        </w:rPr>
        <w:t>ri</w:t>
      </w:r>
      <w:r w:rsidRPr="007425E2">
        <w:t>o est le dernier ressort du Canada à avoir une loi sur la vente en bloc, loi qui concerne la vente de biens dans le cadre normal des affaires du fournisseur.</w:t>
      </w:r>
      <w:r w:rsidR="007309FF">
        <w:rPr>
          <w:spacing w:val="6"/>
        </w:rPr>
        <w:t xml:space="preserve"> </w:t>
      </w:r>
      <w:r w:rsidRPr="007425E2">
        <w:t xml:space="preserve">Pour les </w:t>
      </w:r>
      <w:r w:rsidR="009675CC" w:rsidRPr="007425E2">
        <w:t>fournisseurs et les acheteurs, il est très difficile de se conformer à cette loi</w:t>
      </w:r>
      <w:r w:rsidR="007425E2" w:rsidRPr="007425E2">
        <w:t xml:space="preserve">. De plus, cette loi a </w:t>
      </w:r>
      <w:r w:rsidR="009675CC" w:rsidRPr="007425E2">
        <w:t xml:space="preserve">pour effet d’augmenter le coût des transactions, tant chez les petites que </w:t>
      </w:r>
      <w:r w:rsidR="007425E2" w:rsidRPr="007425E2">
        <w:t xml:space="preserve">chez </w:t>
      </w:r>
      <w:r w:rsidR="009675CC" w:rsidRPr="007425E2">
        <w:t>les grandes entreprises.</w:t>
      </w:r>
    </w:p>
    <w:p w:rsidR="00047FAE" w:rsidRDefault="00047FAE">
      <w:pPr>
        <w:spacing w:line="240" w:lineRule="exact"/>
        <w:rPr>
          <w:sz w:val="24"/>
          <w:szCs w:val="24"/>
        </w:rPr>
      </w:pPr>
    </w:p>
    <w:p w:rsidR="00047FAE" w:rsidRDefault="009675CC">
      <w:pPr>
        <w:pStyle w:val="BodyText"/>
        <w:ind w:right="117"/>
        <w:jc w:val="both"/>
      </w:pPr>
      <w:r w:rsidRPr="007425E2">
        <w:rPr>
          <w:spacing w:val="-1"/>
        </w:rPr>
        <w:t xml:space="preserve">Le Conseil recommande l’abrogation de cette loi. Cette recommandation fait partie des modifications proposées dans le projet de loi </w:t>
      </w:r>
      <w:r w:rsidRPr="007425E2">
        <w:rPr>
          <w:spacing w:val="-2"/>
        </w:rPr>
        <w:t>27</w:t>
      </w:r>
      <w:r w:rsidRPr="007425E2">
        <w:t>.</w:t>
      </w:r>
    </w:p>
    <w:p w:rsidR="00047FAE" w:rsidRDefault="00047FAE">
      <w:pPr>
        <w:spacing w:line="240" w:lineRule="exact"/>
        <w:rPr>
          <w:sz w:val="24"/>
          <w:szCs w:val="24"/>
        </w:rPr>
      </w:pPr>
    </w:p>
    <w:p w:rsidR="00047FAE" w:rsidRDefault="009675CC">
      <w:pPr>
        <w:pStyle w:val="BodyText"/>
        <w:ind w:right="118"/>
        <w:jc w:val="both"/>
      </w:pPr>
      <w:r w:rsidRPr="007425E2">
        <w:rPr>
          <w:spacing w:val="-1"/>
        </w:rPr>
        <w:t>Par ailleurs, le Conseil fait des recommandations à l’égard de modifications conséquentes à la LSM, modifications qui s’avéreraient nécessaires après abrogation de la LVB.</w:t>
      </w:r>
      <w:r w:rsidR="007309FF">
        <w:rPr>
          <w:spacing w:val="18"/>
        </w:rPr>
        <w:t xml:space="preserve"> </w:t>
      </w:r>
      <w:r w:rsidRPr="007425E2">
        <w:rPr>
          <w:spacing w:val="-1"/>
        </w:rPr>
        <w:t xml:space="preserve">Ces propositions de modifications sont en train d’être </w:t>
      </w:r>
      <w:r w:rsidR="007425E2">
        <w:rPr>
          <w:spacing w:val="-1"/>
        </w:rPr>
        <w:t>étudiées</w:t>
      </w:r>
      <w:r w:rsidRPr="007425E2">
        <w:rPr>
          <w:spacing w:val="-1"/>
        </w:rPr>
        <w:t xml:space="preserve"> par le Ministère.</w:t>
      </w:r>
    </w:p>
    <w:p w:rsidR="00047FAE" w:rsidRDefault="00047FAE">
      <w:pPr>
        <w:spacing w:line="240" w:lineRule="exact"/>
        <w:rPr>
          <w:sz w:val="24"/>
          <w:szCs w:val="24"/>
        </w:rPr>
      </w:pPr>
    </w:p>
    <w:p w:rsidR="00047FAE" w:rsidRDefault="00F0715F" w:rsidP="007425E2">
      <w:pPr>
        <w:pStyle w:val="BodyText"/>
        <w:numPr>
          <w:ilvl w:val="0"/>
          <w:numId w:val="23"/>
        </w:numPr>
        <w:tabs>
          <w:tab w:val="left" w:pos="839"/>
        </w:tabs>
        <w:ind w:left="840" w:right="118"/>
      </w:pPr>
      <w:bookmarkStart w:id="68" w:name="6._Amend_the_PPSA_provision_concerning_c"/>
      <w:bookmarkEnd w:id="68"/>
      <w:r w:rsidRPr="007425E2">
        <w:t>Modification de la disposition de la LSM concernant les copies d’enregistrements à fournir aux débiteurs</w:t>
      </w:r>
    </w:p>
    <w:p w:rsidR="00047FAE" w:rsidRDefault="00047FAE">
      <w:pPr>
        <w:spacing w:line="240" w:lineRule="exact"/>
        <w:rPr>
          <w:sz w:val="24"/>
          <w:szCs w:val="24"/>
        </w:rPr>
      </w:pPr>
    </w:p>
    <w:p w:rsidR="00047FAE" w:rsidRDefault="00F0715F">
      <w:pPr>
        <w:pStyle w:val="BodyText"/>
        <w:ind w:right="118"/>
        <w:jc w:val="both"/>
      </w:pPr>
      <w:r w:rsidRPr="007425E2">
        <w:t>La LSM de l’Onta</w:t>
      </w:r>
      <w:r w:rsidRPr="007425E2">
        <w:rPr>
          <w:spacing w:val="-1"/>
        </w:rPr>
        <w:t>ri</w:t>
      </w:r>
      <w:r w:rsidRPr="007425E2">
        <w:t xml:space="preserve">o est la seule loi sur les sûretés mobilières du Canada qui exige </w:t>
      </w:r>
      <w:r w:rsidR="009847F9" w:rsidRPr="007425E2">
        <w:t>que le</w:t>
      </w:r>
      <w:r w:rsidRPr="007425E2">
        <w:t xml:space="preserve"> créancier garanti fournisse une copie de chaque enregistrement en vertu de la LSM</w:t>
      </w:r>
      <w:r w:rsidR="009847F9" w:rsidRPr="007425E2">
        <w:t>, des enregistrements rectificatifs et des mainlevées d’enregistrements aux débiteurs.</w:t>
      </w:r>
      <w:r w:rsidR="007309FF">
        <w:rPr>
          <w:spacing w:val="65"/>
        </w:rPr>
        <w:t xml:space="preserve"> </w:t>
      </w:r>
      <w:r w:rsidR="009847F9" w:rsidRPr="007425E2">
        <w:rPr>
          <w:spacing w:val="2"/>
        </w:rPr>
        <w:t xml:space="preserve">Les autres ressorts permettent aux débiteurs de renoncer à la réception de ces </w:t>
      </w:r>
      <w:r w:rsidR="007425E2" w:rsidRPr="007425E2">
        <w:rPr>
          <w:spacing w:val="2"/>
        </w:rPr>
        <w:t>documents</w:t>
      </w:r>
      <w:r w:rsidR="009847F9" w:rsidRPr="007425E2">
        <w:rPr>
          <w:spacing w:val="2"/>
        </w:rPr>
        <w:t>.</w:t>
      </w:r>
      <w:r w:rsidR="007309FF">
        <w:rPr>
          <w:spacing w:val="-2"/>
        </w:rPr>
        <w:t xml:space="preserve"> </w:t>
      </w:r>
      <w:r w:rsidR="00EA3466" w:rsidRPr="007425E2">
        <w:rPr>
          <w:spacing w:val="-2"/>
        </w:rPr>
        <w:t>Si le débiteur n’est pas d’accord avec cela, il faut lui en remettre une copie.</w:t>
      </w:r>
    </w:p>
    <w:p w:rsidR="00047FAE" w:rsidRDefault="00047FAE">
      <w:pPr>
        <w:spacing w:line="240" w:lineRule="exact"/>
        <w:rPr>
          <w:sz w:val="24"/>
          <w:szCs w:val="24"/>
        </w:rPr>
      </w:pPr>
    </w:p>
    <w:p w:rsidR="00047FAE" w:rsidRDefault="00EA3466">
      <w:pPr>
        <w:pStyle w:val="BodyText"/>
        <w:ind w:right="118"/>
        <w:jc w:val="both"/>
      </w:pPr>
      <w:r w:rsidRPr="007425E2">
        <w:rPr>
          <w:spacing w:val="-1"/>
        </w:rPr>
        <w:t>Le Conseil recommande à l’</w:t>
      </w:r>
      <w:r w:rsidRPr="007425E2">
        <w:t>O</w:t>
      </w:r>
      <w:r w:rsidRPr="007425E2">
        <w:rPr>
          <w:spacing w:val="-2"/>
        </w:rPr>
        <w:t>n</w:t>
      </w:r>
      <w:r w:rsidRPr="007425E2">
        <w:t>ta</w:t>
      </w:r>
      <w:r w:rsidRPr="007425E2">
        <w:rPr>
          <w:spacing w:val="-1"/>
        </w:rPr>
        <w:t>ri</w:t>
      </w:r>
      <w:r w:rsidRPr="007425E2">
        <w:t xml:space="preserve">o d’harmoniser les dispositions contenues dans la LSM avec les 11 autres lois sur les sûretés mobilières au </w:t>
      </w:r>
      <w:r w:rsidRPr="007425E2">
        <w:rPr>
          <w:spacing w:val="-1"/>
        </w:rPr>
        <w:t>Canada</w:t>
      </w:r>
      <w:r w:rsidRPr="007425E2">
        <w:t>.</w:t>
      </w:r>
      <w:r w:rsidR="007309FF">
        <w:rPr>
          <w:spacing w:val="43"/>
        </w:rPr>
        <w:t xml:space="preserve"> </w:t>
      </w:r>
      <w:r w:rsidRPr="007425E2">
        <w:rPr>
          <w:spacing w:val="2"/>
        </w:rPr>
        <w:t xml:space="preserve">Cette recommandation fait l’objet d’une modification proposée dans le projet de loi </w:t>
      </w:r>
      <w:r w:rsidRPr="007425E2">
        <w:t>27.</w:t>
      </w:r>
    </w:p>
    <w:p w:rsidR="00047FAE" w:rsidRDefault="00047FAE">
      <w:pPr>
        <w:spacing w:line="200" w:lineRule="exact"/>
        <w:rPr>
          <w:sz w:val="20"/>
          <w:szCs w:val="20"/>
        </w:rPr>
      </w:pPr>
    </w:p>
    <w:p w:rsidR="00047FAE" w:rsidRDefault="00EA3466">
      <w:pPr>
        <w:pStyle w:val="BodyText"/>
        <w:spacing w:before="69"/>
        <w:ind w:right="118"/>
        <w:jc w:val="both"/>
      </w:pPr>
      <w:r w:rsidRPr="00EC7281">
        <w:rPr>
          <w:spacing w:val="-1"/>
        </w:rPr>
        <w:t xml:space="preserve">Le Conseil </w:t>
      </w:r>
      <w:r w:rsidR="00584471" w:rsidRPr="00EC7281">
        <w:rPr>
          <w:spacing w:val="-1"/>
        </w:rPr>
        <w:t xml:space="preserve">a </w:t>
      </w:r>
      <w:r w:rsidR="00EC7281" w:rsidRPr="00EC7281">
        <w:rPr>
          <w:spacing w:val="-1"/>
        </w:rPr>
        <w:t>examiné</w:t>
      </w:r>
      <w:r w:rsidR="00584471" w:rsidRPr="00EC7281">
        <w:rPr>
          <w:spacing w:val="-1"/>
        </w:rPr>
        <w:t xml:space="preserve"> la modification du gouvernement au règlement en vertu de la LAW et formulé des commentaires au sujet de cette modification. Cette modification permet de livrer les documents d’information des franchises et les avis de résolution via transmission électronique et service de messagerie </w:t>
      </w:r>
      <w:r w:rsidR="00A2475A" w:rsidRPr="00EC7281">
        <w:rPr>
          <w:spacing w:val="-1"/>
        </w:rPr>
        <w:t>prépayé.</w:t>
      </w:r>
      <w:r w:rsidR="007309FF">
        <w:rPr>
          <w:spacing w:val="24"/>
        </w:rPr>
        <w:t xml:space="preserve"> </w:t>
      </w:r>
      <w:r w:rsidR="00A2475A" w:rsidRPr="00EC7281">
        <w:rPr>
          <w:spacing w:val="-1"/>
        </w:rPr>
        <w:t>Cette modification est entrée en vigueur le 1</w:t>
      </w:r>
      <w:r w:rsidR="00A2475A" w:rsidRPr="00EC7281">
        <w:rPr>
          <w:spacing w:val="-1"/>
          <w:vertAlign w:val="superscript"/>
        </w:rPr>
        <w:t>er</w:t>
      </w:r>
      <w:r w:rsidR="00A2475A" w:rsidRPr="00EC7281">
        <w:rPr>
          <w:spacing w:val="-1"/>
        </w:rPr>
        <w:t xml:space="preserve"> juillet 2016.</w:t>
      </w:r>
    </w:p>
    <w:p w:rsidR="00047FAE" w:rsidRDefault="00047FAE">
      <w:pPr>
        <w:jc w:val="both"/>
        <w:sectPr w:rsidR="00047FAE">
          <w:pgSz w:w="12240" w:h="15840"/>
          <w:pgMar w:top="980" w:right="1320" w:bottom="920" w:left="1320" w:header="743" w:footer="731" w:gutter="0"/>
          <w:cols w:space="720"/>
        </w:sectPr>
      </w:pPr>
    </w:p>
    <w:p w:rsidR="00047FAE" w:rsidRDefault="003F1480">
      <w:pPr>
        <w:pStyle w:val="Heading21"/>
        <w:spacing w:before="75"/>
        <w:ind w:left="3112" w:right="3134" w:firstLine="888"/>
        <w:rPr>
          <w:b w:val="0"/>
          <w:bCs w:val="0"/>
        </w:rPr>
      </w:pPr>
      <w:bookmarkStart w:id="69" w:name="Schedule_A_Members_of_the_Council"/>
      <w:bookmarkStart w:id="70" w:name="_bookmark8"/>
      <w:bookmarkEnd w:id="69"/>
      <w:bookmarkEnd w:id="70"/>
      <w:r>
        <w:lastRenderedPageBreak/>
        <w:t>ANNEXE</w:t>
      </w:r>
      <w:r w:rsidR="007309FF" w:rsidRPr="00EC7281">
        <w:rPr>
          <w:spacing w:val="3"/>
        </w:rPr>
        <w:t xml:space="preserve"> </w:t>
      </w:r>
      <w:r w:rsidR="007309FF" w:rsidRPr="00EC7281">
        <w:t xml:space="preserve">A </w:t>
      </w:r>
      <w:r w:rsidR="007309FF" w:rsidRPr="00EC7281">
        <w:rPr>
          <w:spacing w:val="-1"/>
        </w:rPr>
        <w:t>M</w:t>
      </w:r>
      <w:r w:rsidR="007309FF" w:rsidRPr="00EC7281">
        <w:t>E</w:t>
      </w:r>
      <w:r w:rsidR="007309FF" w:rsidRPr="00EC7281">
        <w:rPr>
          <w:spacing w:val="-1"/>
        </w:rPr>
        <w:t>MB</w:t>
      </w:r>
      <w:r>
        <w:rPr>
          <w:spacing w:val="-1"/>
        </w:rPr>
        <w:t>RES DU CONSEIL</w:t>
      </w:r>
    </w:p>
    <w:p w:rsidR="00BA3D23" w:rsidRPr="00947531" w:rsidRDefault="003F1480" w:rsidP="00BA3D23">
      <w:pPr>
        <w:rPr>
          <w:rFonts w:ascii="Arial" w:hAnsi="Arial" w:cs="Arial"/>
          <w:bCs/>
          <w:sz w:val="24"/>
          <w:szCs w:val="24"/>
        </w:rPr>
      </w:pPr>
      <w:r>
        <w:rPr>
          <w:rFonts w:ascii="Arial" w:hAnsi="Arial" w:cs="Arial"/>
          <w:b/>
          <w:bCs/>
          <w:sz w:val="24"/>
          <w:szCs w:val="24"/>
        </w:rPr>
        <w:br/>
      </w:r>
      <w:r w:rsidR="00BA3D23" w:rsidRPr="00947531">
        <w:rPr>
          <w:rFonts w:ascii="Arial" w:hAnsi="Arial" w:cs="Arial"/>
          <w:b/>
          <w:bCs/>
          <w:sz w:val="24"/>
          <w:szCs w:val="24"/>
        </w:rPr>
        <w:t xml:space="preserve">Présidente </w:t>
      </w:r>
      <w:r w:rsidR="00BA3D23">
        <w:rPr>
          <w:rFonts w:ascii="Arial" w:hAnsi="Arial" w:cs="Arial"/>
          <w:b/>
          <w:bCs/>
          <w:sz w:val="24"/>
          <w:szCs w:val="24"/>
        </w:rPr>
        <w:t>—</w:t>
      </w:r>
      <w:r w:rsidR="00BA3D23" w:rsidRPr="00947531">
        <w:rPr>
          <w:rFonts w:ascii="Arial" w:hAnsi="Arial" w:cs="Arial"/>
          <w:b/>
          <w:bCs/>
          <w:sz w:val="24"/>
          <w:szCs w:val="24"/>
        </w:rPr>
        <w:t xml:space="preserve"> Carol</w:t>
      </w:r>
      <w:r w:rsidR="00BA3D23">
        <w:rPr>
          <w:rFonts w:ascii="Arial" w:hAnsi="Arial" w:cs="Arial"/>
          <w:b/>
          <w:bCs/>
          <w:sz w:val="24"/>
          <w:szCs w:val="24"/>
        </w:rPr>
        <w:t> </w:t>
      </w:r>
      <w:r w:rsidR="00BA3D23" w:rsidRPr="00947531">
        <w:rPr>
          <w:rFonts w:ascii="Arial" w:hAnsi="Arial" w:cs="Arial"/>
          <w:b/>
          <w:bCs/>
          <w:sz w:val="24"/>
          <w:szCs w:val="24"/>
        </w:rPr>
        <w:t>Hansell (associée principale, Hansell LLP)</w:t>
      </w:r>
      <w:r w:rsidR="00BA3D23" w:rsidRPr="00947531">
        <w:rPr>
          <w:rFonts w:ascii="Arial" w:hAnsi="Arial" w:cs="Arial"/>
          <w:bCs/>
          <w:sz w:val="24"/>
          <w:szCs w:val="24"/>
        </w:rPr>
        <w:t> </w:t>
      </w:r>
      <w:r w:rsidR="00BA3D23" w:rsidRPr="00947531">
        <w:rPr>
          <w:rFonts w:ascii="Arial" w:hAnsi="Arial" w:cs="Arial"/>
          <w:bCs/>
          <w:sz w:val="24"/>
          <w:szCs w:val="24"/>
        </w:rPr>
        <w:br/>
      </w:r>
      <w:r w:rsidR="00BA3D23" w:rsidRPr="00947531">
        <w:rPr>
          <w:rFonts w:ascii="Arial" w:hAnsi="Arial" w:cs="Arial"/>
          <w:bCs/>
          <w:sz w:val="24"/>
          <w:szCs w:val="24"/>
        </w:rPr>
        <w:br/>
        <w:t>Carol</w:t>
      </w:r>
      <w:r w:rsidR="00BA3D23">
        <w:rPr>
          <w:rFonts w:ascii="Arial" w:hAnsi="Arial" w:cs="Arial"/>
          <w:bCs/>
          <w:sz w:val="24"/>
          <w:szCs w:val="24"/>
        </w:rPr>
        <w:t> </w:t>
      </w:r>
      <w:r w:rsidR="00BA3D23" w:rsidRPr="00947531">
        <w:rPr>
          <w:rFonts w:ascii="Arial" w:hAnsi="Arial" w:cs="Arial"/>
          <w:bCs/>
          <w:sz w:val="24"/>
          <w:szCs w:val="24"/>
        </w:rPr>
        <w:t>Hansell est fondatrice et associée principale du cabinet Hansell LLP, un cabinet indépendant qui se consacre à conseiller les conseils d</w:t>
      </w:r>
      <w:r w:rsidR="00BA3D23">
        <w:rPr>
          <w:rFonts w:ascii="Arial" w:hAnsi="Arial" w:cs="Arial"/>
          <w:bCs/>
          <w:sz w:val="24"/>
          <w:szCs w:val="24"/>
        </w:rPr>
        <w:t>’</w:t>
      </w:r>
      <w:r w:rsidR="00BA3D23" w:rsidRPr="00947531">
        <w:rPr>
          <w:rFonts w:ascii="Arial" w:hAnsi="Arial" w:cs="Arial"/>
          <w:bCs/>
          <w:sz w:val="24"/>
          <w:szCs w:val="24"/>
        </w:rPr>
        <w:t>administration, les équipes de direction, les actionnaires institutionnels et les organismes de réglementation en ce qui a trait aux défis en matière de droit et de gouvernance. </w:t>
      </w:r>
      <w:r w:rsidR="00BA3D23" w:rsidRPr="00947531">
        <w:rPr>
          <w:rFonts w:ascii="Arial" w:hAnsi="Arial" w:cs="Arial"/>
          <w:bCs/>
          <w:sz w:val="24"/>
          <w:szCs w:val="24"/>
        </w:rPr>
        <w:br/>
      </w:r>
      <w:r w:rsidR="00BA3D23" w:rsidRPr="00947531">
        <w:rPr>
          <w:rFonts w:ascii="Arial" w:hAnsi="Arial" w:cs="Arial"/>
          <w:bCs/>
          <w:sz w:val="24"/>
          <w:szCs w:val="24"/>
        </w:rPr>
        <w:br/>
        <w:t>Exerçant le droit depuis plus de 25</w:t>
      </w:r>
      <w:r w:rsidR="00BA3D23">
        <w:rPr>
          <w:rFonts w:ascii="Arial" w:hAnsi="Arial" w:cs="Arial"/>
          <w:bCs/>
          <w:sz w:val="24"/>
          <w:szCs w:val="24"/>
        </w:rPr>
        <w:t> </w:t>
      </w:r>
      <w:r w:rsidR="00BA3D23" w:rsidRPr="00947531">
        <w:rPr>
          <w:rFonts w:ascii="Arial" w:hAnsi="Arial" w:cs="Arial"/>
          <w:bCs/>
          <w:sz w:val="24"/>
          <w:szCs w:val="24"/>
        </w:rPr>
        <w:t>ans, M</w:t>
      </w:r>
      <w:r w:rsidR="00BA3D23" w:rsidRPr="00947531">
        <w:rPr>
          <w:rFonts w:ascii="Arial" w:hAnsi="Arial" w:cs="Arial"/>
          <w:bCs/>
          <w:sz w:val="24"/>
          <w:szCs w:val="24"/>
          <w:vertAlign w:val="superscript"/>
        </w:rPr>
        <w:t>me</w:t>
      </w:r>
      <w:r w:rsidR="00BA3D23">
        <w:rPr>
          <w:rFonts w:ascii="Arial" w:hAnsi="Arial" w:cs="Arial"/>
          <w:bCs/>
          <w:sz w:val="24"/>
          <w:szCs w:val="24"/>
        </w:rPr>
        <w:t> </w:t>
      </w:r>
      <w:r w:rsidR="00BA3D23" w:rsidRPr="00947531">
        <w:rPr>
          <w:rFonts w:ascii="Arial" w:hAnsi="Arial" w:cs="Arial"/>
          <w:bCs/>
          <w:sz w:val="24"/>
          <w:szCs w:val="24"/>
        </w:rPr>
        <w:t>Hansell a siégé au conseil d</w:t>
      </w:r>
      <w:r w:rsidR="00BA3D23">
        <w:rPr>
          <w:rFonts w:ascii="Arial" w:hAnsi="Arial" w:cs="Arial"/>
          <w:bCs/>
          <w:sz w:val="24"/>
          <w:szCs w:val="24"/>
        </w:rPr>
        <w:t>’</w:t>
      </w:r>
      <w:r w:rsidR="00BA3D23" w:rsidRPr="00947531">
        <w:rPr>
          <w:rFonts w:ascii="Arial" w:hAnsi="Arial" w:cs="Arial"/>
          <w:bCs/>
          <w:sz w:val="24"/>
          <w:szCs w:val="24"/>
        </w:rPr>
        <w:t>entreprises et d</w:t>
      </w:r>
      <w:r w:rsidR="00BA3D23">
        <w:rPr>
          <w:rFonts w:ascii="Arial" w:hAnsi="Arial" w:cs="Arial"/>
          <w:bCs/>
          <w:sz w:val="24"/>
          <w:szCs w:val="24"/>
        </w:rPr>
        <w:t>’</w:t>
      </w:r>
      <w:r w:rsidR="00BA3D23" w:rsidRPr="00947531">
        <w:rPr>
          <w:rFonts w:ascii="Arial" w:hAnsi="Arial" w:cs="Arial"/>
          <w:bCs/>
          <w:sz w:val="24"/>
          <w:szCs w:val="24"/>
        </w:rPr>
        <w:t>organismes de nombreux secteurs</w:t>
      </w:r>
      <w:r w:rsidR="00BA3D23">
        <w:rPr>
          <w:rFonts w:ascii="Arial" w:hAnsi="Arial" w:cs="Arial"/>
          <w:bCs/>
          <w:sz w:val="24"/>
          <w:szCs w:val="24"/>
        </w:rPr>
        <w:t> </w:t>
      </w:r>
      <w:r w:rsidR="00BA3D23" w:rsidRPr="00947531">
        <w:rPr>
          <w:rFonts w:ascii="Arial" w:hAnsi="Arial" w:cs="Arial"/>
          <w:bCs/>
          <w:sz w:val="24"/>
          <w:szCs w:val="24"/>
        </w:rPr>
        <w:t>: sociétés ouvertes, sociétés d</w:t>
      </w:r>
      <w:r w:rsidR="00BA3D23">
        <w:rPr>
          <w:rFonts w:ascii="Arial" w:hAnsi="Arial" w:cs="Arial"/>
          <w:bCs/>
          <w:sz w:val="24"/>
          <w:szCs w:val="24"/>
        </w:rPr>
        <w:t>’</w:t>
      </w:r>
      <w:r w:rsidR="00BA3D23" w:rsidRPr="00947531">
        <w:rPr>
          <w:rFonts w:ascii="Arial" w:hAnsi="Arial" w:cs="Arial"/>
          <w:bCs/>
          <w:sz w:val="24"/>
          <w:szCs w:val="24"/>
        </w:rPr>
        <w:t>État, établissements de soins de santé, organismes sans but lucratif et organisme de promotion des arts. Elle siège actuellement au conseil de Munich Reinsurance Company of Canada, de l</w:t>
      </w:r>
      <w:r w:rsidR="00BA3D23">
        <w:rPr>
          <w:rFonts w:ascii="Arial" w:hAnsi="Arial" w:cs="Arial"/>
          <w:bCs/>
          <w:sz w:val="24"/>
          <w:szCs w:val="24"/>
        </w:rPr>
        <w:t>’</w:t>
      </w:r>
      <w:r w:rsidR="00BA3D23" w:rsidRPr="00947531">
        <w:rPr>
          <w:rFonts w:ascii="Arial" w:hAnsi="Arial" w:cs="Arial"/>
          <w:bCs/>
          <w:sz w:val="24"/>
          <w:szCs w:val="24"/>
        </w:rPr>
        <w:t>Institut mondial de gestion des risques du secteur financier, et de l</w:t>
      </w:r>
      <w:r w:rsidR="00BA3D23">
        <w:rPr>
          <w:rFonts w:ascii="Arial" w:hAnsi="Arial" w:cs="Arial"/>
          <w:bCs/>
          <w:sz w:val="24"/>
          <w:szCs w:val="24"/>
        </w:rPr>
        <w:t>’</w:t>
      </w:r>
      <w:r w:rsidR="00BA3D23" w:rsidRPr="00947531">
        <w:rPr>
          <w:rFonts w:ascii="Arial" w:hAnsi="Arial" w:cs="Arial"/>
          <w:bCs/>
          <w:sz w:val="24"/>
          <w:szCs w:val="24"/>
        </w:rPr>
        <w:t>International Corporate Governance Network. Elle a également été membre du conseil de la Banque du Canada, de l</w:t>
      </w:r>
      <w:r w:rsidR="00BA3D23">
        <w:rPr>
          <w:rFonts w:ascii="Arial" w:hAnsi="Arial" w:cs="Arial"/>
          <w:bCs/>
          <w:sz w:val="24"/>
          <w:szCs w:val="24"/>
        </w:rPr>
        <w:t>’</w:t>
      </w:r>
      <w:r w:rsidR="00BA3D23" w:rsidRPr="00947531">
        <w:rPr>
          <w:rFonts w:ascii="Arial" w:hAnsi="Arial" w:cs="Arial"/>
          <w:bCs/>
          <w:sz w:val="24"/>
          <w:szCs w:val="24"/>
        </w:rPr>
        <w:t>Office d</w:t>
      </w:r>
      <w:r w:rsidR="00BA3D23">
        <w:rPr>
          <w:rFonts w:ascii="Arial" w:hAnsi="Arial" w:cs="Arial"/>
          <w:bCs/>
          <w:sz w:val="24"/>
          <w:szCs w:val="24"/>
        </w:rPr>
        <w:t>’</w:t>
      </w:r>
      <w:r w:rsidR="00BA3D23" w:rsidRPr="00947531">
        <w:rPr>
          <w:rFonts w:ascii="Arial" w:hAnsi="Arial" w:cs="Arial"/>
          <w:bCs/>
          <w:sz w:val="24"/>
          <w:szCs w:val="24"/>
        </w:rPr>
        <w:t>investissement des régimes de pensions du secteur public, du Toronto East General Hospital et de la Fondation SickKids, entre autres. </w:t>
      </w:r>
      <w:r w:rsidR="00BA3D23" w:rsidRPr="00947531">
        <w:rPr>
          <w:rFonts w:ascii="Arial" w:hAnsi="Arial" w:cs="Arial"/>
          <w:bCs/>
          <w:sz w:val="24"/>
          <w:szCs w:val="24"/>
        </w:rPr>
        <w:br/>
      </w:r>
      <w:r w:rsidR="00BA3D23" w:rsidRPr="00947531">
        <w:rPr>
          <w:rFonts w:ascii="Arial" w:hAnsi="Arial" w:cs="Arial"/>
          <w:bCs/>
          <w:sz w:val="24"/>
          <w:szCs w:val="24"/>
        </w:rPr>
        <w:br/>
        <w:t>Elle a obtenu le titre de Fellow de l</w:t>
      </w:r>
      <w:r w:rsidR="00BA3D23">
        <w:rPr>
          <w:rFonts w:ascii="Arial" w:hAnsi="Arial" w:cs="Arial"/>
          <w:bCs/>
          <w:sz w:val="24"/>
          <w:szCs w:val="24"/>
        </w:rPr>
        <w:t>’</w:t>
      </w:r>
      <w:r w:rsidR="00BA3D23" w:rsidRPr="00947531">
        <w:rPr>
          <w:rFonts w:ascii="Arial" w:hAnsi="Arial" w:cs="Arial"/>
          <w:bCs/>
          <w:sz w:val="24"/>
          <w:szCs w:val="24"/>
        </w:rPr>
        <w:t>Institut des administrateurs de sociétés en 2013 et reçu, en 2015, le prix d</w:t>
      </w:r>
      <w:r w:rsidR="00BA3D23">
        <w:rPr>
          <w:rFonts w:ascii="Arial" w:hAnsi="Arial" w:cs="Arial"/>
          <w:bCs/>
          <w:sz w:val="24"/>
          <w:szCs w:val="24"/>
        </w:rPr>
        <w:t>’</w:t>
      </w:r>
      <w:r w:rsidR="00BA3D23" w:rsidRPr="00947531">
        <w:rPr>
          <w:rFonts w:ascii="Arial" w:hAnsi="Arial" w:cs="Arial"/>
          <w:bCs/>
          <w:sz w:val="24"/>
          <w:szCs w:val="24"/>
        </w:rPr>
        <w:t>excellence pour l</w:t>
      </w:r>
      <w:r w:rsidR="00BA3D23">
        <w:rPr>
          <w:rFonts w:ascii="Arial" w:hAnsi="Arial" w:cs="Arial"/>
          <w:bCs/>
          <w:sz w:val="24"/>
          <w:szCs w:val="24"/>
        </w:rPr>
        <w:t>’</w:t>
      </w:r>
      <w:r w:rsidR="00BA3D23" w:rsidRPr="00947531">
        <w:rPr>
          <w:rFonts w:ascii="Arial" w:hAnsi="Arial" w:cs="Arial"/>
          <w:bCs/>
          <w:sz w:val="24"/>
          <w:szCs w:val="24"/>
        </w:rPr>
        <w:t xml:space="preserve">ensemble de ses réalisations dans le domaine des relations avec les investisseurs. </w:t>
      </w:r>
      <w:r w:rsidR="00BA3D23" w:rsidRPr="00947531">
        <w:rPr>
          <w:rFonts w:ascii="Arial" w:hAnsi="Arial" w:cs="Arial" w:hint="eastAsia"/>
          <w:bCs/>
          <w:sz w:val="24"/>
          <w:szCs w:val="24"/>
        </w:rPr>
        <w:t>M</w:t>
      </w:r>
      <w:r w:rsidR="00BA3D23" w:rsidRPr="00947531">
        <w:rPr>
          <w:rFonts w:ascii="Arial" w:hAnsi="Arial" w:cs="Arial" w:hint="eastAsia"/>
          <w:bCs/>
          <w:sz w:val="24"/>
          <w:szCs w:val="24"/>
          <w:vertAlign w:val="superscript"/>
        </w:rPr>
        <w:t>me</w:t>
      </w:r>
      <w:r w:rsidR="00BA3D23">
        <w:rPr>
          <w:rFonts w:ascii="Arial" w:hAnsi="Arial" w:cs="Arial"/>
          <w:bCs/>
          <w:sz w:val="24"/>
          <w:szCs w:val="24"/>
        </w:rPr>
        <w:t> </w:t>
      </w:r>
      <w:r w:rsidR="00BA3D23" w:rsidRPr="00947531">
        <w:rPr>
          <w:rFonts w:ascii="Arial" w:hAnsi="Arial" w:cs="Arial"/>
          <w:bCs/>
          <w:sz w:val="24"/>
          <w:szCs w:val="24"/>
        </w:rPr>
        <w:t>Hansell est une fiduciaire fondatrice et Fellow de l</w:t>
      </w:r>
      <w:r w:rsidR="00BA3D23">
        <w:rPr>
          <w:rFonts w:ascii="Arial" w:hAnsi="Arial" w:cs="Arial"/>
          <w:bCs/>
          <w:sz w:val="24"/>
          <w:szCs w:val="24"/>
        </w:rPr>
        <w:t>’</w:t>
      </w:r>
      <w:r w:rsidR="00BA3D23" w:rsidRPr="00947531">
        <w:rPr>
          <w:rFonts w:ascii="Arial" w:hAnsi="Arial" w:cs="Arial"/>
          <w:bCs/>
          <w:sz w:val="24"/>
          <w:szCs w:val="24"/>
        </w:rPr>
        <w:t>American College of Governance Counsel. </w:t>
      </w:r>
      <w:r w:rsidR="00BA3D23" w:rsidRPr="00947531">
        <w:rPr>
          <w:rFonts w:ascii="Arial" w:hAnsi="Arial" w:cs="Arial"/>
          <w:bCs/>
          <w:sz w:val="24"/>
          <w:szCs w:val="24"/>
        </w:rPr>
        <w:br/>
      </w:r>
      <w:r w:rsidR="00BA3D23" w:rsidRPr="00947531">
        <w:rPr>
          <w:rFonts w:ascii="Arial" w:hAnsi="Arial" w:cs="Arial"/>
          <w:bCs/>
          <w:sz w:val="24"/>
          <w:szCs w:val="24"/>
        </w:rPr>
        <w:br/>
        <w:t>En plus de son service au conseil d</w:t>
      </w:r>
      <w:r w:rsidR="00BA3D23">
        <w:rPr>
          <w:rFonts w:ascii="Arial" w:hAnsi="Arial" w:cs="Arial"/>
          <w:bCs/>
          <w:sz w:val="24"/>
          <w:szCs w:val="24"/>
        </w:rPr>
        <w:t>’</w:t>
      </w:r>
      <w:r w:rsidR="00BA3D23" w:rsidRPr="00947531">
        <w:rPr>
          <w:rFonts w:ascii="Arial" w:hAnsi="Arial" w:cs="Arial"/>
          <w:bCs/>
          <w:sz w:val="24"/>
          <w:szCs w:val="24"/>
        </w:rPr>
        <w:t xml:space="preserve">administration, </w:t>
      </w:r>
      <w:r w:rsidR="00BA3D23" w:rsidRPr="00947531">
        <w:rPr>
          <w:rFonts w:ascii="Arial" w:hAnsi="Arial" w:cs="Arial" w:hint="eastAsia"/>
          <w:bCs/>
          <w:sz w:val="24"/>
          <w:szCs w:val="24"/>
        </w:rPr>
        <w:t>M</w:t>
      </w:r>
      <w:r w:rsidR="00BA3D23" w:rsidRPr="00947531">
        <w:rPr>
          <w:rFonts w:ascii="Arial" w:hAnsi="Arial" w:cs="Arial" w:hint="eastAsia"/>
          <w:bCs/>
          <w:sz w:val="24"/>
          <w:szCs w:val="24"/>
          <w:vertAlign w:val="superscript"/>
        </w:rPr>
        <w:t>me</w:t>
      </w:r>
      <w:r w:rsidR="00BA3D23">
        <w:rPr>
          <w:rFonts w:ascii="Arial" w:hAnsi="Arial" w:cs="Arial"/>
          <w:bCs/>
          <w:sz w:val="24"/>
          <w:szCs w:val="24"/>
        </w:rPr>
        <w:t> </w:t>
      </w:r>
      <w:r w:rsidR="00BA3D23" w:rsidRPr="00947531">
        <w:rPr>
          <w:rFonts w:ascii="Arial" w:hAnsi="Arial" w:cs="Arial"/>
          <w:bCs/>
          <w:sz w:val="24"/>
          <w:szCs w:val="24"/>
        </w:rPr>
        <w:t>Hansell a été engagée dans la formation sur la gouvernance et le leadership tout au long de sa carrière. Elle est la seule étrangère à siéger à titre de présidente au conseil du Corporate Governance Committee de l</w:t>
      </w:r>
      <w:r w:rsidR="00BA3D23">
        <w:rPr>
          <w:rFonts w:ascii="Arial" w:hAnsi="Arial" w:cs="Arial"/>
          <w:bCs/>
          <w:sz w:val="24"/>
          <w:szCs w:val="24"/>
        </w:rPr>
        <w:t>’</w:t>
      </w:r>
      <w:r w:rsidR="00BA3D23" w:rsidRPr="00947531">
        <w:rPr>
          <w:rFonts w:ascii="Arial" w:hAnsi="Arial" w:cs="Arial"/>
          <w:bCs/>
          <w:sz w:val="24"/>
          <w:szCs w:val="24"/>
        </w:rPr>
        <w:t>Association du Barreau américain (section droit des affaires) et continue de siéger à titre de conseillère spéciale canadienne au Corporate Laws Committee de l</w:t>
      </w:r>
      <w:r w:rsidR="00BA3D23">
        <w:rPr>
          <w:rFonts w:ascii="Arial" w:hAnsi="Arial" w:cs="Arial"/>
          <w:bCs/>
          <w:sz w:val="24"/>
          <w:szCs w:val="24"/>
        </w:rPr>
        <w:t>’</w:t>
      </w:r>
      <w:r w:rsidR="00BA3D23" w:rsidRPr="00947531">
        <w:rPr>
          <w:rFonts w:ascii="Arial" w:hAnsi="Arial" w:cs="Arial"/>
          <w:bCs/>
          <w:sz w:val="24"/>
          <w:szCs w:val="24"/>
        </w:rPr>
        <w:t>ABA. Elle a également enseigné à plus de 5000</w:t>
      </w:r>
      <w:r w:rsidR="00BA3D23">
        <w:rPr>
          <w:rFonts w:ascii="Arial" w:hAnsi="Arial" w:cs="Arial"/>
          <w:bCs/>
          <w:sz w:val="24"/>
          <w:szCs w:val="24"/>
        </w:rPr>
        <w:t> </w:t>
      </w:r>
      <w:r w:rsidR="00BA3D23" w:rsidRPr="00947531">
        <w:rPr>
          <w:rFonts w:ascii="Arial" w:hAnsi="Arial" w:cs="Arial"/>
          <w:bCs/>
          <w:sz w:val="24"/>
          <w:szCs w:val="24"/>
        </w:rPr>
        <w:t>directeurs dans le programme de formation ICD-Rotman</w:t>
      </w:r>
      <w:r w:rsidR="00BA3D23">
        <w:rPr>
          <w:rFonts w:ascii="Arial" w:hAnsi="Arial" w:cs="Arial"/>
          <w:bCs/>
          <w:sz w:val="24"/>
          <w:szCs w:val="24"/>
        </w:rPr>
        <w:t> </w:t>
      </w:r>
      <w:r w:rsidR="00BA3D23" w:rsidRPr="00947531">
        <w:rPr>
          <w:rFonts w:ascii="Arial" w:hAnsi="Arial" w:cs="Arial"/>
          <w:bCs/>
          <w:sz w:val="24"/>
          <w:szCs w:val="24"/>
        </w:rPr>
        <w:t xml:space="preserve">Directors Education Program, offert à Toronto et à Vancouver. </w:t>
      </w:r>
      <w:r w:rsidR="00BA3D23" w:rsidRPr="00947531">
        <w:rPr>
          <w:rFonts w:ascii="Arial" w:hAnsi="Arial" w:cs="Arial" w:hint="eastAsia"/>
          <w:bCs/>
          <w:sz w:val="24"/>
          <w:szCs w:val="24"/>
        </w:rPr>
        <w:t>M</w:t>
      </w:r>
      <w:r w:rsidR="00BA3D23" w:rsidRPr="00947531">
        <w:rPr>
          <w:rFonts w:ascii="Arial" w:hAnsi="Arial" w:cs="Arial" w:hint="eastAsia"/>
          <w:bCs/>
          <w:sz w:val="24"/>
          <w:szCs w:val="24"/>
          <w:vertAlign w:val="superscript"/>
        </w:rPr>
        <w:t>me</w:t>
      </w:r>
      <w:r w:rsidR="00BA3D23">
        <w:rPr>
          <w:rFonts w:ascii="Arial" w:hAnsi="Arial" w:cs="Arial"/>
          <w:bCs/>
          <w:sz w:val="24"/>
          <w:szCs w:val="24"/>
        </w:rPr>
        <w:t> </w:t>
      </w:r>
      <w:r w:rsidR="00BA3D23" w:rsidRPr="00947531">
        <w:rPr>
          <w:rFonts w:ascii="Arial" w:hAnsi="Arial" w:cs="Arial"/>
          <w:bCs/>
          <w:sz w:val="24"/>
          <w:szCs w:val="24"/>
        </w:rPr>
        <w:t>Hansel a été membre du Comité consultatif des intervenants pour le portefeuille du droit des affaires, du ministère des Services gouvernementaux et des Services aux consommateurs. </w:t>
      </w:r>
      <w:r w:rsidR="00BA3D23" w:rsidRPr="00947531">
        <w:rPr>
          <w:rFonts w:ascii="Arial" w:hAnsi="Arial" w:cs="Arial"/>
          <w:bCs/>
          <w:sz w:val="24"/>
          <w:szCs w:val="24"/>
        </w:rPr>
        <w:br/>
      </w:r>
      <w:r w:rsidR="00BA3D23" w:rsidRPr="00947531">
        <w:rPr>
          <w:rFonts w:ascii="Arial" w:hAnsi="Arial" w:cs="Arial"/>
          <w:bCs/>
          <w:sz w:val="24"/>
          <w:szCs w:val="24"/>
        </w:rPr>
        <w:br/>
      </w:r>
      <w:r w:rsidR="00BA3D23" w:rsidRPr="00273BA8">
        <w:rPr>
          <w:rFonts w:ascii="Arial" w:hAnsi="Arial" w:cs="Arial"/>
          <w:b/>
          <w:bCs/>
          <w:sz w:val="24"/>
          <w:szCs w:val="24"/>
        </w:rPr>
        <w:t xml:space="preserve">Vice-président </w:t>
      </w:r>
      <w:r w:rsidR="00BA3D23">
        <w:rPr>
          <w:rFonts w:ascii="Arial" w:hAnsi="Arial" w:cs="Arial"/>
          <w:b/>
          <w:bCs/>
          <w:sz w:val="24"/>
          <w:szCs w:val="24"/>
        </w:rPr>
        <w:t>—</w:t>
      </w:r>
      <w:r w:rsidR="00BA3D23" w:rsidRPr="00273BA8">
        <w:rPr>
          <w:rFonts w:ascii="Arial" w:hAnsi="Arial" w:cs="Arial"/>
          <w:b/>
          <w:bCs/>
          <w:sz w:val="24"/>
          <w:szCs w:val="24"/>
        </w:rPr>
        <w:t xml:space="preserve"> E. Patrick</w:t>
      </w:r>
      <w:r w:rsidR="00BA3D23">
        <w:rPr>
          <w:rFonts w:ascii="Arial" w:hAnsi="Arial" w:cs="Arial"/>
          <w:b/>
          <w:bCs/>
          <w:sz w:val="24"/>
          <w:szCs w:val="24"/>
        </w:rPr>
        <w:t> </w:t>
      </w:r>
      <w:r w:rsidR="00BA3D23" w:rsidRPr="00273BA8">
        <w:rPr>
          <w:rFonts w:ascii="Arial" w:hAnsi="Arial" w:cs="Arial"/>
          <w:b/>
          <w:bCs/>
          <w:sz w:val="24"/>
          <w:szCs w:val="24"/>
        </w:rPr>
        <w:t xml:space="preserve">Shea (associé, Gowling WLG </w:t>
      </w:r>
      <w:r w:rsidR="00BA3D23">
        <w:rPr>
          <w:rFonts w:ascii="Arial" w:hAnsi="Arial" w:cs="Arial"/>
          <w:b/>
          <w:bCs/>
          <w:sz w:val="24"/>
          <w:szCs w:val="24"/>
        </w:rPr>
        <w:t>[</w:t>
      </w:r>
      <w:r w:rsidR="00BA3D23" w:rsidRPr="00273BA8">
        <w:rPr>
          <w:rFonts w:ascii="Arial" w:hAnsi="Arial" w:cs="Arial"/>
          <w:b/>
          <w:bCs/>
          <w:sz w:val="24"/>
          <w:szCs w:val="24"/>
        </w:rPr>
        <w:t>Canada</w:t>
      </w:r>
      <w:r w:rsidR="00BA3D23">
        <w:rPr>
          <w:rFonts w:ascii="Arial" w:hAnsi="Arial" w:cs="Arial"/>
          <w:b/>
          <w:bCs/>
          <w:sz w:val="24"/>
          <w:szCs w:val="24"/>
        </w:rPr>
        <w:t>]</w:t>
      </w:r>
      <w:r w:rsidR="00BA3D23" w:rsidRPr="00273BA8">
        <w:rPr>
          <w:rFonts w:ascii="Arial" w:hAnsi="Arial" w:cs="Arial"/>
          <w:b/>
          <w:bCs/>
          <w:sz w:val="24"/>
          <w:szCs w:val="24"/>
        </w:rPr>
        <w:t xml:space="preserve"> LLP)</w:t>
      </w:r>
      <w:r w:rsidR="00BA3D23" w:rsidRPr="00947531">
        <w:rPr>
          <w:rFonts w:ascii="Arial" w:hAnsi="Arial" w:cs="Arial"/>
          <w:bCs/>
          <w:sz w:val="24"/>
          <w:szCs w:val="24"/>
        </w:rPr>
        <w:t> </w:t>
      </w:r>
      <w:r w:rsidR="00BA3D23" w:rsidRPr="00947531">
        <w:rPr>
          <w:rFonts w:ascii="Arial" w:hAnsi="Arial" w:cs="Arial"/>
          <w:bCs/>
          <w:sz w:val="24"/>
          <w:szCs w:val="24"/>
        </w:rPr>
        <w:br/>
      </w:r>
      <w:r w:rsidR="00BA3D23" w:rsidRPr="00947531">
        <w:rPr>
          <w:rFonts w:ascii="Arial" w:hAnsi="Arial" w:cs="Arial"/>
          <w:bCs/>
          <w:sz w:val="24"/>
          <w:szCs w:val="24"/>
        </w:rPr>
        <w:br/>
        <w:t>E. Patrick Shea est un associé au bureau de Toronto de Gowling WLG, qui exerce dans le domaine du droit commercial, avec un accent sur les domaines de la faillite et de l</w:t>
      </w:r>
      <w:r w:rsidR="00BA3D23">
        <w:rPr>
          <w:rFonts w:ascii="Arial" w:hAnsi="Arial" w:cs="Arial"/>
          <w:bCs/>
          <w:sz w:val="24"/>
          <w:szCs w:val="24"/>
        </w:rPr>
        <w:t>’</w:t>
      </w:r>
      <w:r w:rsidR="00BA3D23" w:rsidRPr="00947531">
        <w:rPr>
          <w:rFonts w:ascii="Arial" w:hAnsi="Arial" w:cs="Arial"/>
          <w:bCs/>
          <w:sz w:val="24"/>
          <w:szCs w:val="24"/>
        </w:rPr>
        <w:t>insolvabilité. Spécialiste certifié en droit des faillites et de l</w:t>
      </w:r>
      <w:r w:rsidR="00BA3D23">
        <w:rPr>
          <w:rFonts w:ascii="Arial" w:hAnsi="Arial" w:cs="Arial"/>
          <w:bCs/>
          <w:sz w:val="24"/>
          <w:szCs w:val="24"/>
        </w:rPr>
        <w:t>’</w:t>
      </w:r>
      <w:r w:rsidR="00BA3D23" w:rsidRPr="00947531">
        <w:rPr>
          <w:rFonts w:ascii="Arial" w:hAnsi="Arial" w:cs="Arial"/>
          <w:bCs/>
          <w:sz w:val="24"/>
          <w:szCs w:val="24"/>
        </w:rPr>
        <w:t>insolvabilité, M.</w:t>
      </w:r>
      <w:r w:rsidR="00BA3D23">
        <w:rPr>
          <w:rFonts w:ascii="Arial" w:hAnsi="Arial" w:cs="Arial"/>
          <w:bCs/>
          <w:sz w:val="24"/>
          <w:szCs w:val="24"/>
        </w:rPr>
        <w:t> </w:t>
      </w:r>
      <w:r w:rsidR="00BA3D23" w:rsidRPr="00947531">
        <w:rPr>
          <w:rFonts w:ascii="Arial" w:hAnsi="Arial" w:cs="Arial"/>
          <w:bCs/>
          <w:sz w:val="24"/>
          <w:szCs w:val="24"/>
        </w:rPr>
        <w:t>Shea a agi pour une variété de clients, y compris en restructuration et insolvabilité de grandes et petites entreprises dans les secteurs du divertissement, du commerce de détail, de l</w:t>
      </w:r>
      <w:r w:rsidR="00BA3D23">
        <w:rPr>
          <w:rFonts w:ascii="Arial" w:hAnsi="Arial" w:cs="Arial"/>
          <w:bCs/>
          <w:sz w:val="24"/>
          <w:szCs w:val="24"/>
        </w:rPr>
        <w:t>’</w:t>
      </w:r>
      <w:r w:rsidR="00BA3D23" w:rsidRPr="00947531">
        <w:rPr>
          <w:rFonts w:ascii="Arial" w:hAnsi="Arial" w:cs="Arial"/>
          <w:bCs/>
          <w:sz w:val="24"/>
          <w:szCs w:val="24"/>
        </w:rPr>
        <w:t xml:space="preserve">automobile, du transport aérien, des aliments et des boissons. Il a travaillé avec Justice Canada dans le cadre de modifications à la </w:t>
      </w:r>
      <w:r w:rsidR="00BA3D23" w:rsidRPr="0011697C">
        <w:rPr>
          <w:rFonts w:ascii="Arial" w:hAnsi="Arial" w:cs="Arial"/>
          <w:bCs/>
          <w:i/>
          <w:sz w:val="24"/>
          <w:szCs w:val="24"/>
        </w:rPr>
        <w:t>Loi canadienne sur l</w:t>
      </w:r>
      <w:r w:rsidR="00BA3D23">
        <w:rPr>
          <w:rFonts w:ascii="Arial" w:hAnsi="Arial" w:cs="Arial"/>
          <w:bCs/>
          <w:i/>
          <w:sz w:val="24"/>
          <w:szCs w:val="24"/>
        </w:rPr>
        <w:t>’</w:t>
      </w:r>
      <w:r w:rsidR="00BA3D23" w:rsidRPr="0011697C">
        <w:rPr>
          <w:rFonts w:ascii="Arial" w:hAnsi="Arial" w:cs="Arial"/>
          <w:bCs/>
          <w:i/>
          <w:sz w:val="24"/>
          <w:szCs w:val="24"/>
        </w:rPr>
        <w:t>insolvabilité</w:t>
      </w:r>
      <w:r w:rsidR="00BA3D23" w:rsidRPr="00947531">
        <w:rPr>
          <w:rFonts w:ascii="Arial" w:hAnsi="Arial" w:cs="Arial"/>
          <w:bCs/>
          <w:sz w:val="24"/>
          <w:szCs w:val="24"/>
        </w:rPr>
        <w:t>, pour le gouvernement de la Jamaïque et la Banque interaméricaine de développement dans le cadre de l</w:t>
      </w:r>
      <w:r w:rsidR="00BA3D23">
        <w:rPr>
          <w:rFonts w:ascii="Arial" w:hAnsi="Arial" w:cs="Arial"/>
          <w:bCs/>
          <w:sz w:val="24"/>
          <w:szCs w:val="24"/>
        </w:rPr>
        <w:t>’</w:t>
      </w:r>
      <w:r w:rsidR="00BA3D23" w:rsidRPr="00947531">
        <w:rPr>
          <w:rFonts w:ascii="Arial" w:hAnsi="Arial" w:cs="Arial"/>
          <w:bCs/>
          <w:sz w:val="24"/>
          <w:szCs w:val="24"/>
        </w:rPr>
        <w:t>adoption par la Jamaïque, d</w:t>
      </w:r>
      <w:r w:rsidR="00BA3D23">
        <w:rPr>
          <w:rFonts w:ascii="Arial" w:hAnsi="Arial" w:cs="Arial"/>
          <w:bCs/>
          <w:sz w:val="24"/>
          <w:szCs w:val="24"/>
        </w:rPr>
        <w:t>’</w:t>
      </w:r>
      <w:r w:rsidR="00BA3D23" w:rsidRPr="00947531">
        <w:rPr>
          <w:rFonts w:ascii="Arial" w:hAnsi="Arial" w:cs="Arial"/>
          <w:bCs/>
          <w:sz w:val="24"/>
          <w:szCs w:val="24"/>
        </w:rPr>
        <w:t>une nouvelle législation sur l</w:t>
      </w:r>
      <w:r w:rsidR="00BA3D23">
        <w:rPr>
          <w:rFonts w:ascii="Arial" w:hAnsi="Arial" w:cs="Arial"/>
          <w:bCs/>
          <w:sz w:val="24"/>
          <w:szCs w:val="24"/>
        </w:rPr>
        <w:t>’</w:t>
      </w:r>
      <w:r w:rsidR="00BA3D23" w:rsidRPr="00947531">
        <w:rPr>
          <w:rFonts w:ascii="Arial" w:hAnsi="Arial" w:cs="Arial"/>
          <w:bCs/>
          <w:sz w:val="24"/>
          <w:szCs w:val="24"/>
        </w:rPr>
        <w:t>insolvabilité. </w:t>
      </w:r>
      <w:r w:rsidR="00BA3D23" w:rsidRPr="00947531">
        <w:rPr>
          <w:rFonts w:ascii="Arial" w:hAnsi="Arial" w:cs="Arial"/>
          <w:bCs/>
          <w:sz w:val="24"/>
          <w:szCs w:val="24"/>
        </w:rPr>
        <w:br/>
      </w:r>
      <w:r w:rsidR="00BA3D23" w:rsidRPr="00947531">
        <w:rPr>
          <w:rFonts w:ascii="Arial" w:hAnsi="Arial" w:cs="Arial"/>
          <w:bCs/>
          <w:sz w:val="24"/>
          <w:szCs w:val="24"/>
        </w:rPr>
        <w:br/>
        <w:t>M.</w:t>
      </w:r>
      <w:r w:rsidR="00BA3D23">
        <w:rPr>
          <w:rFonts w:ascii="Arial" w:hAnsi="Arial" w:cs="Arial"/>
          <w:bCs/>
          <w:sz w:val="24"/>
          <w:szCs w:val="24"/>
        </w:rPr>
        <w:t> </w:t>
      </w:r>
      <w:r w:rsidR="00BA3D23" w:rsidRPr="00947531">
        <w:rPr>
          <w:rFonts w:ascii="Arial" w:hAnsi="Arial" w:cs="Arial"/>
          <w:bCs/>
          <w:sz w:val="24"/>
          <w:szCs w:val="24"/>
        </w:rPr>
        <w:t>Shea est membre du comité de direction de la Section droit de l</w:t>
      </w:r>
      <w:r w:rsidR="00BA3D23">
        <w:rPr>
          <w:rFonts w:ascii="Arial" w:hAnsi="Arial" w:cs="Arial"/>
          <w:bCs/>
          <w:sz w:val="24"/>
          <w:szCs w:val="24"/>
        </w:rPr>
        <w:t>’</w:t>
      </w:r>
      <w:r w:rsidR="00BA3D23" w:rsidRPr="00947531">
        <w:rPr>
          <w:rFonts w:ascii="Arial" w:hAnsi="Arial" w:cs="Arial"/>
          <w:bCs/>
          <w:sz w:val="24"/>
          <w:szCs w:val="24"/>
        </w:rPr>
        <w:t>insolvabilité de l</w:t>
      </w:r>
      <w:r w:rsidR="00BA3D23">
        <w:rPr>
          <w:rFonts w:ascii="Arial" w:hAnsi="Arial" w:cs="Arial"/>
          <w:bCs/>
          <w:sz w:val="24"/>
          <w:szCs w:val="24"/>
        </w:rPr>
        <w:t>’</w:t>
      </w:r>
      <w:r w:rsidR="00BA3D23" w:rsidRPr="00947531">
        <w:rPr>
          <w:rFonts w:ascii="Arial" w:hAnsi="Arial" w:cs="Arial"/>
          <w:bCs/>
          <w:sz w:val="24"/>
          <w:szCs w:val="24"/>
        </w:rPr>
        <w:t>Association du Barreau de l</w:t>
      </w:r>
      <w:r w:rsidR="00BA3D23">
        <w:rPr>
          <w:rFonts w:ascii="Arial" w:hAnsi="Arial" w:cs="Arial"/>
          <w:bCs/>
          <w:sz w:val="24"/>
          <w:szCs w:val="24"/>
        </w:rPr>
        <w:t>’</w:t>
      </w:r>
      <w:r w:rsidR="00BA3D23" w:rsidRPr="00947531">
        <w:rPr>
          <w:rFonts w:ascii="Arial" w:hAnsi="Arial" w:cs="Arial"/>
          <w:bCs/>
          <w:sz w:val="24"/>
          <w:szCs w:val="24"/>
        </w:rPr>
        <w:t>Ontario. Il a agi à titre d</w:t>
      </w:r>
      <w:r w:rsidR="00BA3D23">
        <w:rPr>
          <w:rFonts w:ascii="Arial" w:hAnsi="Arial" w:cs="Arial"/>
          <w:bCs/>
          <w:sz w:val="24"/>
          <w:szCs w:val="24"/>
        </w:rPr>
        <w:t>’</w:t>
      </w:r>
      <w:r w:rsidR="00BA3D23" w:rsidRPr="00947531">
        <w:rPr>
          <w:rFonts w:ascii="Arial" w:hAnsi="Arial" w:cs="Arial"/>
          <w:bCs/>
          <w:sz w:val="24"/>
          <w:szCs w:val="24"/>
        </w:rPr>
        <w:t>ancien président de la Section nationale du droit de la faillite de l</w:t>
      </w:r>
      <w:r w:rsidR="00BA3D23">
        <w:rPr>
          <w:rFonts w:ascii="Arial" w:hAnsi="Arial" w:cs="Arial"/>
          <w:bCs/>
          <w:sz w:val="24"/>
          <w:szCs w:val="24"/>
        </w:rPr>
        <w:t>’</w:t>
      </w:r>
      <w:r w:rsidR="00BA3D23" w:rsidRPr="00947531">
        <w:rPr>
          <w:rFonts w:ascii="Arial" w:hAnsi="Arial" w:cs="Arial"/>
          <w:bCs/>
          <w:sz w:val="24"/>
          <w:szCs w:val="24"/>
        </w:rPr>
        <w:t>insolvabilité et de la restructuration de l</w:t>
      </w:r>
      <w:r w:rsidR="00BA3D23">
        <w:rPr>
          <w:rFonts w:ascii="Arial" w:hAnsi="Arial" w:cs="Arial"/>
          <w:bCs/>
          <w:sz w:val="24"/>
          <w:szCs w:val="24"/>
        </w:rPr>
        <w:t>’</w:t>
      </w:r>
      <w:r w:rsidR="00BA3D23" w:rsidRPr="00947531">
        <w:rPr>
          <w:rFonts w:ascii="Arial" w:hAnsi="Arial" w:cs="Arial"/>
          <w:bCs/>
          <w:sz w:val="24"/>
          <w:szCs w:val="24"/>
        </w:rPr>
        <w:t xml:space="preserve">Association du Barreau canadien (ABC) et est actuellement membre du comité de direction du conseil </w:t>
      </w:r>
      <w:r w:rsidR="00BA3D23" w:rsidRPr="00947531">
        <w:rPr>
          <w:rFonts w:ascii="Arial" w:hAnsi="Arial" w:cs="Arial"/>
          <w:bCs/>
          <w:sz w:val="24"/>
          <w:szCs w:val="24"/>
        </w:rPr>
        <w:lastRenderedPageBreak/>
        <w:t>des sections nationales et du Comité de la législation et de la réforme du droit de l</w:t>
      </w:r>
      <w:r w:rsidR="00BA3D23">
        <w:rPr>
          <w:rFonts w:ascii="Arial" w:hAnsi="Arial" w:cs="Arial"/>
          <w:bCs/>
          <w:sz w:val="24"/>
          <w:szCs w:val="24"/>
        </w:rPr>
        <w:t>’</w:t>
      </w:r>
      <w:r w:rsidR="00BA3D23" w:rsidRPr="00947531">
        <w:rPr>
          <w:rFonts w:ascii="Arial" w:hAnsi="Arial" w:cs="Arial"/>
          <w:bCs/>
          <w:sz w:val="24"/>
          <w:szCs w:val="24"/>
        </w:rPr>
        <w:t>ABC. </w:t>
      </w:r>
      <w:r w:rsidR="00BA3D23" w:rsidRPr="00947531">
        <w:rPr>
          <w:rFonts w:ascii="Arial" w:hAnsi="Arial" w:cs="Arial"/>
          <w:bCs/>
          <w:sz w:val="24"/>
          <w:szCs w:val="24"/>
        </w:rPr>
        <w:br/>
      </w:r>
      <w:r w:rsidR="00BA3D23" w:rsidRPr="00947531">
        <w:rPr>
          <w:rFonts w:ascii="Arial" w:hAnsi="Arial" w:cs="Arial"/>
          <w:bCs/>
          <w:sz w:val="24"/>
          <w:szCs w:val="24"/>
        </w:rPr>
        <w:br/>
        <w:t>M.</w:t>
      </w:r>
      <w:r w:rsidR="00BA3D23">
        <w:rPr>
          <w:rFonts w:ascii="Arial" w:hAnsi="Arial" w:cs="Arial"/>
          <w:bCs/>
          <w:sz w:val="24"/>
          <w:szCs w:val="24"/>
        </w:rPr>
        <w:t> </w:t>
      </w:r>
      <w:r w:rsidR="00BA3D23" w:rsidRPr="00947531">
        <w:rPr>
          <w:rFonts w:ascii="Arial" w:hAnsi="Arial" w:cs="Arial"/>
          <w:bCs/>
          <w:sz w:val="24"/>
          <w:szCs w:val="24"/>
        </w:rPr>
        <w:t>Shea a siégé au conseil d</w:t>
      </w:r>
      <w:r w:rsidR="00BA3D23">
        <w:rPr>
          <w:rFonts w:ascii="Arial" w:hAnsi="Arial" w:cs="Arial"/>
          <w:bCs/>
          <w:sz w:val="24"/>
          <w:szCs w:val="24"/>
        </w:rPr>
        <w:t>’</w:t>
      </w:r>
      <w:r w:rsidR="00BA3D23" w:rsidRPr="00947531">
        <w:rPr>
          <w:rFonts w:ascii="Arial" w:hAnsi="Arial" w:cs="Arial"/>
          <w:bCs/>
          <w:sz w:val="24"/>
          <w:szCs w:val="24"/>
        </w:rPr>
        <w:t>administration St. John</w:t>
      </w:r>
      <w:r w:rsidR="00BA3D23">
        <w:rPr>
          <w:rFonts w:ascii="Arial" w:hAnsi="Arial" w:cs="Arial"/>
          <w:bCs/>
          <w:sz w:val="24"/>
          <w:szCs w:val="24"/>
        </w:rPr>
        <w:t>’</w:t>
      </w:r>
      <w:r w:rsidR="00BA3D23" w:rsidRPr="00947531">
        <w:rPr>
          <w:rFonts w:ascii="Arial" w:hAnsi="Arial" w:cs="Arial"/>
          <w:bCs/>
          <w:sz w:val="24"/>
          <w:szCs w:val="24"/>
        </w:rPr>
        <w:t>s Ambulance Council for Ontario et est actuellement le vice-président de la St. John Canada Foundation. Il est aussi un administrateur et dirigeant d</w:t>
      </w:r>
      <w:r w:rsidR="00BA3D23">
        <w:rPr>
          <w:rFonts w:ascii="Arial" w:hAnsi="Arial" w:cs="Arial"/>
          <w:bCs/>
          <w:sz w:val="24"/>
          <w:szCs w:val="24"/>
        </w:rPr>
        <w:t>’</w:t>
      </w:r>
      <w:r w:rsidR="00BA3D23" w:rsidRPr="00947531">
        <w:rPr>
          <w:rFonts w:ascii="Arial" w:hAnsi="Arial" w:cs="Arial"/>
          <w:bCs/>
          <w:sz w:val="24"/>
          <w:szCs w:val="24"/>
        </w:rPr>
        <w:t>une fondation à but non lucratif créée pour prendre en charge les Rangers canadiens et les Rangers juniors canadiens en Ontario. En 2015, il a reçu la médaille du Barreau du Haut-Canada pour son travail visant à immortaliser les stagiaires du Barreau morts au combat pendant la Première Guerre mondiale. </w:t>
      </w:r>
      <w:r w:rsidR="00BA3D23" w:rsidRPr="00947531">
        <w:rPr>
          <w:rFonts w:ascii="Arial" w:hAnsi="Arial" w:cs="Arial"/>
          <w:bCs/>
          <w:sz w:val="24"/>
          <w:szCs w:val="24"/>
        </w:rPr>
        <w:br/>
      </w:r>
      <w:r w:rsidR="00BA3D23" w:rsidRPr="00947531">
        <w:rPr>
          <w:rFonts w:ascii="Arial" w:hAnsi="Arial" w:cs="Arial"/>
          <w:bCs/>
          <w:sz w:val="24"/>
          <w:szCs w:val="24"/>
        </w:rPr>
        <w:br/>
      </w:r>
      <w:r w:rsidR="00BA3D23" w:rsidRPr="00947531">
        <w:rPr>
          <w:rFonts w:ascii="Arial" w:hAnsi="Arial" w:cs="Arial"/>
          <w:bCs/>
          <w:sz w:val="24"/>
          <w:szCs w:val="24"/>
        </w:rPr>
        <w:br/>
      </w:r>
      <w:r w:rsidR="00BA3D23" w:rsidRPr="00273BA8">
        <w:rPr>
          <w:rFonts w:ascii="Arial" w:hAnsi="Arial" w:cs="Arial"/>
          <w:b/>
          <w:bCs/>
          <w:sz w:val="24"/>
          <w:szCs w:val="24"/>
        </w:rPr>
        <w:t>Membres du conseil consultatif en matière de droit des affaires </w:t>
      </w:r>
      <w:r w:rsidR="00BA3D23" w:rsidRPr="00273BA8">
        <w:rPr>
          <w:rFonts w:ascii="Arial" w:hAnsi="Arial" w:cs="Arial"/>
          <w:b/>
          <w:bCs/>
          <w:sz w:val="24"/>
          <w:szCs w:val="24"/>
        </w:rPr>
        <w:br/>
      </w:r>
      <w:r w:rsidR="00BA3D23" w:rsidRPr="00273BA8">
        <w:rPr>
          <w:rFonts w:ascii="Arial" w:hAnsi="Arial" w:cs="Arial"/>
          <w:b/>
          <w:bCs/>
          <w:sz w:val="24"/>
          <w:szCs w:val="24"/>
        </w:rPr>
        <w:br/>
        <w:t>Jennifer</w:t>
      </w:r>
      <w:r w:rsidR="00BA3D23">
        <w:rPr>
          <w:rFonts w:ascii="Arial" w:hAnsi="Arial" w:cs="Arial"/>
          <w:b/>
          <w:bCs/>
          <w:sz w:val="24"/>
          <w:szCs w:val="24"/>
        </w:rPr>
        <w:t> </w:t>
      </w:r>
      <w:r w:rsidR="00BA3D23" w:rsidRPr="00273BA8">
        <w:rPr>
          <w:rFonts w:ascii="Arial" w:hAnsi="Arial" w:cs="Arial"/>
          <w:b/>
          <w:bCs/>
          <w:sz w:val="24"/>
          <w:szCs w:val="24"/>
        </w:rPr>
        <w:t>Babe (associée, Miller Thomson S. E. N. C. R. L., s. r. l.)</w:t>
      </w:r>
      <w:r w:rsidR="00BA3D23" w:rsidRPr="00947531">
        <w:rPr>
          <w:rFonts w:ascii="Arial" w:hAnsi="Arial" w:cs="Arial"/>
          <w:bCs/>
          <w:sz w:val="24"/>
          <w:szCs w:val="24"/>
        </w:rPr>
        <w:t> </w:t>
      </w:r>
    </w:p>
    <w:p w:rsidR="00BA3D23" w:rsidRPr="00947531" w:rsidRDefault="00BA3D23" w:rsidP="00BA3D23">
      <w:pPr>
        <w:rPr>
          <w:rFonts w:ascii="Arial" w:hAnsi="Arial" w:cs="Arial"/>
          <w:bCs/>
          <w:sz w:val="24"/>
          <w:szCs w:val="24"/>
        </w:rPr>
      </w:pPr>
      <w:r w:rsidRPr="00947531">
        <w:rPr>
          <w:rFonts w:ascii="Arial" w:hAnsi="Arial" w:cs="Arial" w:hint="eastAsia"/>
          <w:bCs/>
          <w:sz w:val="24"/>
          <w:szCs w:val="24"/>
        </w:rPr>
        <w:t>M</w:t>
      </w:r>
      <w:r w:rsidRPr="00947531">
        <w:rPr>
          <w:rFonts w:ascii="Arial" w:hAnsi="Arial" w:cs="Arial" w:hint="eastAsia"/>
          <w:bCs/>
          <w:sz w:val="24"/>
          <w:szCs w:val="24"/>
          <w:vertAlign w:val="superscript"/>
        </w:rPr>
        <w:t>me</w:t>
      </w:r>
      <w:r>
        <w:rPr>
          <w:rFonts w:ascii="Arial" w:hAnsi="Arial" w:cs="Arial"/>
          <w:bCs/>
          <w:sz w:val="24"/>
          <w:szCs w:val="24"/>
        </w:rPr>
        <w:t> </w:t>
      </w:r>
      <w:r w:rsidRPr="00947531">
        <w:rPr>
          <w:rFonts w:ascii="Arial" w:hAnsi="Arial" w:cs="Arial"/>
          <w:bCs/>
          <w:sz w:val="24"/>
          <w:szCs w:val="24"/>
        </w:rPr>
        <w:t>Babe exerce surtout le droit commercial, et plus particulièrement les opérations garanties, l</w:t>
      </w:r>
      <w:r>
        <w:rPr>
          <w:rFonts w:ascii="Arial" w:hAnsi="Arial" w:cs="Arial"/>
          <w:bCs/>
          <w:sz w:val="24"/>
          <w:szCs w:val="24"/>
        </w:rPr>
        <w:t>’</w:t>
      </w:r>
      <w:r w:rsidRPr="00947531">
        <w:rPr>
          <w:rFonts w:ascii="Arial" w:hAnsi="Arial" w:cs="Arial"/>
          <w:bCs/>
          <w:sz w:val="24"/>
          <w:szCs w:val="24"/>
        </w:rPr>
        <w:t>établissement de garanties sur les ventes et les locations à long terme de produits importants ainsi que l</w:t>
      </w:r>
      <w:r>
        <w:rPr>
          <w:rFonts w:ascii="Arial" w:hAnsi="Arial" w:cs="Arial"/>
          <w:bCs/>
          <w:sz w:val="24"/>
          <w:szCs w:val="24"/>
        </w:rPr>
        <w:t>’</w:t>
      </w:r>
      <w:r w:rsidRPr="00947531">
        <w:rPr>
          <w:rFonts w:ascii="Arial" w:hAnsi="Arial" w:cs="Arial"/>
          <w:bCs/>
          <w:sz w:val="24"/>
          <w:szCs w:val="24"/>
        </w:rPr>
        <w:t>achat d</w:t>
      </w:r>
      <w:r>
        <w:rPr>
          <w:rFonts w:ascii="Arial" w:hAnsi="Arial" w:cs="Arial"/>
          <w:bCs/>
          <w:sz w:val="24"/>
          <w:szCs w:val="24"/>
        </w:rPr>
        <w:t>’</w:t>
      </w:r>
      <w:r w:rsidRPr="00947531">
        <w:rPr>
          <w:rFonts w:ascii="Arial" w:hAnsi="Arial" w:cs="Arial"/>
          <w:bCs/>
          <w:sz w:val="24"/>
          <w:szCs w:val="24"/>
        </w:rPr>
        <w:t>entreprises, d</w:t>
      </w:r>
      <w:r>
        <w:rPr>
          <w:rFonts w:ascii="Arial" w:hAnsi="Arial" w:cs="Arial"/>
          <w:bCs/>
          <w:sz w:val="24"/>
          <w:szCs w:val="24"/>
        </w:rPr>
        <w:t>’</w:t>
      </w:r>
      <w:r w:rsidRPr="00947531">
        <w:rPr>
          <w:rFonts w:ascii="Arial" w:hAnsi="Arial" w:cs="Arial"/>
          <w:bCs/>
          <w:sz w:val="24"/>
          <w:szCs w:val="24"/>
        </w:rPr>
        <w:t>éléments d</w:t>
      </w:r>
      <w:r>
        <w:rPr>
          <w:rFonts w:ascii="Arial" w:hAnsi="Arial" w:cs="Arial"/>
          <w:bCs/>
          <w:sz w:val="24"/>
          <w:szCs w:val="24"/>
        </w:rPr>
        <w:t>’</w:t>
      </w:r>
      <w:r w:rsidRPr="00947531">
        <w:rPr>
          <w:rFonts w:ascii="Arial" w:hAnsi="Arial" w:cs="Arial"/>
          <w:bCs/>
          <w:sz w:val="24"/>
          <w:szCs w:val="24"/>
        </w:rPr>
        <w:t>actif et d</w:t>
      </w:r>
      <w:r>
        <w:rPr>
          <w:rFonts w:ascii="Arial" w:hAnsi="Arial" w:cs="Arial"/>
          <w:bCs/>
          <w:sz w:val="24"/>
          <w:szCs w:val="24"/>
        </w:rPr>
        <w:t>’</w:t>
      </w:r>
      <w:r w:rsidRPr="00947531">
        <w:rPr>
          <w:rFonts w:ascii="Arial" w:hAnsi="Arial" w:cs="Arial"/>
          <w:bCs/>
          <w:sz w:val="24"/>
          <w:szCs w:val="24"/>
        </w:rPr>
        <w:t xml:space="preserve">actions. Jennifer connaît particulièrement les lois sur les biens meubles, notamment la </w:t>
      </w:r>
      <w:r w:rsidRPr="0011697C">
        <w:rPr>
          <w:rFonts w:ascii="Arial" w:hAnsi="Arial" w:cs="Arial"/>
          <w:bCs/>
          <w:i/>
          <w:sz w:val="24"/>
          <w:szCs w:val="24"/>
        </w:rPr>
        <w:t>Loi sur les sûretés mobilières</w:t>
      </w:r>
      <w:r w:rsidRPr="00947531">
        <w:rPr>
          <w:rFonts w:ascii="Arial" w:hAnsi="Arial" w:cs="Arial"/>
          <w:bCs/>
          <w:sz w:val="24"/>
          <w:szCs w:val="24"/>
        </w:rPr>
        <w:t xml:space="preserve">. Elle est membre active du Comité de la section de la </w:t>
      </w:r>
      <w:r w:rsidRPr="0011697C">
        <w:rPr>
          <w:rFonts w:ascii="Arial" w:hAnsi="Arial" w:cs="Arial"/>
          <w:bCs/>
          <w:i/>
          <w:sz w:val="24"/>
          <w:szCs w:val="24"/>
        </w:rPr>
        <w:t>Loi sur les sûretés mobilières</w:t>
      </w:r>
      <w:r w:rsidRPr="00947531">
        <w:rPr>
          <w:rFonts w:ascii="Arial" w:hAnsi="Arial" w:cs="Arial"/>
          <w:bCs/>
          <w:sz w:val="24"/>
          <w:szCs w:val="24"/>
        </w:rPr>
        <w:t xml:space="preserve"> de la section Droit des affaires à l</w:t>
      </w:r>
      <w:r>
        <w:rPr>
          <w:rFonts w:ascii="Arial" w:hAnsi="Arial" w:cs="Arial"/>
          <w:bCs/>
          <w:sz w:val="24"/>
          <w:szCs w:val="24"/>
        </w:rPr>
        <w:t>’</w:t>
      </w:r>
      <w:r w:rsidRPr="00947531">
        <w:rPr>
          <w:rFonts w:ascii="Arial" w:hAnsi="Arial" w:cs="Arial"/>
          <w:bCs/>
          <w:sz w:val="24"/>
          <w:szCs w:val="24"/>
        </w:rPr>
        <w:t>Association du Barreau de l</w:t>
      </w:r>
      <w:r>
        <w:rPr>
          <w:rFonts w:ascii="Arial" w:hAnsi="Arial" w:cs="Arial"/>
          <w:bCs/>
          <w:sz w:val="24"/>
          <w:szCs w:val="24"/>
        </w:rPr>
        <w:t>’</w:t>
      </w:r>
      <w:r w:rsidRPr="00947531">
        <w:rPr>
          <w:rFonts w:ascii="Arial" w:hAnsi="Arial" w:cs="Arial"/>
          <w:bCs/>
          <w:sz w:val="24"/>
          <w:szCs w:val="24"/>
        </w:rPr>
        <w:t xml:space="preserve">Ontario. </w:t>
      </w:r>
      <w:r w:rsidRPr="00947531">
        <w:rPr>
          <w:rFonts w:ascii="Arial" w:hAnsi="Arial" w:cs="Arial" w:hint="eastAsia"/>
          <w:bCs/>
          <w:sz w:val="24"/>
          <w:szCs w:val="24"/>
        </w:rPr>
        <w:t>M</w:t>
      </w:r>
      <w:r w:rsidRPr="00947531">
        <w:rPr>
          <w:rFonts w:ascii="Arial" w:hAnsi="Arial" w:cs="Arial" w:hint="eastAsia"/>
          <w:bCs/>
          <w:sz w:val="24"/>
          <w:szCs w:val="24"/>
          <w:vertAlign w:val="superscript"/>
        </w:rPr>
        <w:t>me</w:t>
      </w:r>
      <w:r>
        <w:rPr>
          <w:rFonts w:ascii="Arial" w:hAnsi="Arial" w:cs="Arial"/>
          <w:bCs/>
          <w:sz w:val="24"/>
          <w:szCs w:val="24"/>
        </w:rPr>
        <w:t> </w:t>
      </w:r>
      <w:r w:rsidRPr="00947531">
        <w:rPr>
          <w:rFonts w:ascii="Arial" w:hAnsi="Arial" w:cs="Arial"/>
          <w:bCs/>
          <w:sz w:val="24"/>
          <w:szCs w:val="24"/>
        </w:rPr>
        <w:t>Babe est Fellow de l</w:t>
      </w:r>
      <w:r>
        <w:rPr>
          <w:rFonts w:ascii="Arial" w:hAnsi="Arial" w:cs="Arial"/>
          <w:bCs/>
          <w:sz w:val="24"/>
          <w:szCs w:val="24"/>
        </w:rPr>
        <w:t>’</w:t>
      </w:r>
      <w:r w:rsidRPr="00947531">
        <w:rPr>
          <w:rFonts w:ascii="Arial" w:hAnsi="Arial" w:cs="Arial"/>
          <w:bCs/>
          <w:sz w:val="24"/>
          <w:szCs w:val="24"/>
        </w:rPr>
        <w:t>American College of Commercial Finance Lawyers, ancienne présidente de la Section nationale Droit des affaires de l</w:t>
      </w:r>
      <w:r>
        <w:rPr>
          <w:rFonts w:ascii="Arial" w:hAnsi="Arial" w:cs="Arial"/>
          <w:bCs/>
          <w:sz w:val="24"/>
          <w:szCs w:val="24"/>
        </w:rPr>
        <w:t>’</w:t>
      </w:r>
      <w:r w:rsidRPr="00947531">
        <w:rPr>
          <w:rFonts w:ascii="Arial" w:hAnsi="Arial" w:cs="Arial"/>
          <w:bCs/>
          <w:sz w:val="24"/>
          <w:szCs w:val="24"/>
        </w:rPr>
        <w:t>ABC, ancienne présidente du Comité de stratégie de droit commercial de la Conférence pour l</w:t>
      </w:r>
      <w:r>
        <w:rPr>
          <w:rFonts w:ascii="Arial" w:hAnsi="Arial" w:cs="Arial"/>
          <w:bCs/>
          <w:sz w:val="24"/>
          <w:szCs w:val="24"/>
        </w:rPr>
        <w:t>’</w:t>
      </w:r>
      <w:r w:rsidRPr="00947531">
        <w:rPr>
          <w:rFonts w:ascii="Arial" w:hAnsi="Arial" w:cs="Arial"/>
          <w:bCs/>
          <w:sz w:val="24"/>
          <w:szCs w:val="24"/>
        </w:rPr>
        <w:t>harmonisation de lois au Canada. Elle est également l</w:t>
      </w:r>
      <w:r>
        <w:rPr>
          <w:rFonts w:ascii="Arial" w:hAnsi="Arial" w:cs="Arial"/>
          <w:bCs/>
          <w:sz w:val="24"/>
          <w:szCs w:val="24"/>
        </w:rPr>
        <w:t>’</w:t>
      </w:r>
      <w:r w:rsidRPr="00947531">
        <w:rPr>
          <w:rFonts w:ascii="Arial" w:hAnsi="Arial" w:cs="Arial"/>
          <w:bCs/>
          <w:sz w:val="24"/>
          <w:szCs w:val="24"/>
        </w:rPr>
        <w:t xml:space="preserve">auteure de Sale of a Business et co-auteure de Creditors' Remedies in Ontario. </w:t>
      </w:r>
      <w:r w:rsidRPr="00947531">
        <w:rPr>
          <w:rFonts w:ascii="Arial" w:hAnsi="Arial" w:cs="Arial" w:hint="eastAsia"/>
          <w:bCs/>
          <w:sz w:val="24"/>
          <w:szCs w:val="24"/>
        </w:rPr>
        <w:t>M</w:t>
      </w:r>
      <w:r w:rsidRPr="00947531">
        <w:rPr>
          <w:rFonts w:ascii="Arial" w:hAnsi="Arial" w:cs="Arial" w:hint="eastAsia"/>
          <w:bCs/>
          <w:sz w:val="24"/>
          <w:szCs w:val="24"/>
          <w:vertAlign w:val="superscript"/>
        </w:rPr>
        <w:t>me</w:t>
      </w:r>
      <w:r>
        <w:rPr>
          <w:rFonts w:ascii="Arial" w:hAnsi="Arial" w:cs="Arial"/>
          <w:bCs/>
          <w:sz w:val="24"/>
          <w:szCs w:val="24"/>
        </w:rPr>
        <w:t> </w:t>
      </w:r>
      <w:r w:rsidRPr="00947531">
        <w:rPr>
          <w:rFonts w:ascii="Arial" w:hAnsi="Arial" w:cs="Arial"/>
          <w:bCs/>
          <w:sz w:val="24"/>
          <w:szCs w:val="24"/>
        </w:rPr>
        <w:t>Babe a été membre du Comité consultatif des intervenants pour le portefeuille du droit des affaires, du ministère des Services gouvernementaux et des Services aux consommateurs. </w:t>
      </w:r>
      <w:r w:rsidRPr="00947531">
        <w:rPr>
          <w:rFonts w:ascii="Arial" w:hAnsi="Arial" w:cs="Arial"/>
          <w:bCs/>
          <w:sz w:val="24"/>
          <w:szCs w:val="24"/>
        </w:rPr>
        <w:br/>
      </w:r>
      <w:r w:rsidRPr="00947531">
        <w:rPr>
          <w:rFonts w:ascii="Arial" w:hAnsi="Arial" w:cs="Arial"/>
          <w:bCs/>
          <w:sz w:val="24"/>
          <w:szCs w:val="24"/>
        </w:rPr>
        <w:br/>
      </w:r>
      <w:r w:rsidRPr="00273BA8">
        <w:rPr>
          <w:rFonts w:ascii="Arial" w:hAnsi="Arial" w:cs="Arial"/>
          <w:b/>
          <w:bCs/>
          <w:sz w:val="24"/>
          <w:szCs w:val="24"/>
        </w:rPr>
        <w:t>Andy</w:t>
      </w:r>
      <w:r>
        <w:rPr>
          <w:rFonts w:ascii="Arial" w:hAnsi="Arial" w:cs="Arial"/>
          <w:b/>
          <w:bCs/>
          <w:sz w:val="24"/>
          <w:szCs w:val="24"/>
        </w:rPr>
        <w:t> </w:t>
      </w:r>
      <w:r w:rsidRPr="00273BA8">
        <w:rPr>
          <w:rFonts w:ascii="Arial" w:hAnsi="Arial" w:cs="Arial"/>
          <w:b/>
          <w:bCs/>
          <w:sz w:val="24"/>
          <w:szCs w:val="24"/>
        </w:rPr>
        <w:t>Chan (associé, Miller Thomson LLP et associé directeur du bureau de Markham)</w:t>
      </w:r>
    </w:p>
    <w:p w:rsidR="00BA3D23" w:rsidRPr="00947531" w:rsidRDefault="00BA3D23" w:rsidP="00BA3D23">
      <w:pPr>
        <w:rPr>
          <w:rFonts w:ascii="Arial" w:hAnsi="Arial" w:cs="Arial"/>
          <w:bCs/>
          <w:sz w:val="24"/>
          <w:szCs w:val="24"/>
        </w:rPr>
      </w:pPr>
      <w:r w:rsidRPr="00947531">
        <w:rPr>
          <w:rFonts w:ascii="Arial" w:hAnsi="Arial" w:cs="Arial"/>
          <w:bCs/>
          <w:sz w:val="24"/>
          <w:szCs w:val="24"/>
        </w:rPr>
        <w:t>La pratique spécialisée transfrontalière mondiale de M.</w:t>
      </w:r>
      <w:r>
        <w:rPr>
          <w:rFonts w:ascii="Arial" w:hAnsi="Arial" w:cs="Arial"/>
          <w:bCs/>
          <w:sz w:val="24"/>
          <w:szCs w:val="24"/>
        </w:rPr>
        <w:t> </w:t>
      </w:r>
      <w:r w:rsidRPr="00947531">
        <w:rPr>
          <w:rFonts w:ascii="Arial" w:hAnsi="Arial" w:cs="Arial"/>
          <w:bCs/>
          <w:sz w:val="24"/>
          <w:szCs w:val="24"/>
        </w:rPr>
        <w:t>Chan comprend la consultation aux clients nationaux et internationaux sur le droit des sociétés, les fusions et les acquisitions, les investissements, les montages et les financements. Il est aussi coprésident de International Business Transactions Group et président national du cabinet de l</w:t>
      </w:r>
      <w:r>
        <w:rPr>
          <w:rFonts w:ascii="Arial" w:hAnsi="Arial" w:cs="Arial"/>
          <w:bCs/>
          <w:sz w:val="24"/>
          <w:szCs w:val="24"/>
        </w:rPr>
        <w:t>’</w:t>
      </w:r>
      <w:r w:rsidRPr="00947531">
        <w:rPr>
          <w:rFonts w:ascii="Arial" w:hAnsi="Arial" w:cs="Arial"/>
          <w:bCs/>
          <w:sz w:val="24"/>
          <w:szCs w:val="24"/>
        </w:rPr>
        <w:t>Asie. Lauréat de la médaille de Jubilé de diamant de la Reine Elizabeth</w:t>
      </w:r>
      <w:r>
        <w:rPr>
          <w:rFonts w:ascii="Arial" w:hAnsi="Arial" w:cs="Arial"/>
          <w:bCs/>
          <w:sz w:val="24"/>
          <w:szCs w:val="24"/>
        </w:rPr>
        <w:t> </w:t>
      </w:r>
      <w:r w:rsidRPr="00947531">
        <w:rPr>
          <w:rFonts w:ascii="Arial" w:hAnsi="Arial" w:cs="Arial"/>
          <w:bCs/>
          <w:sz w:val="24"/>
          <w:szCs w:val="24"/>
        </w:rPr>
        <w:t>II pour sa contribution exceptionnelle au Canada, il a été également nommé Leading Canadian Corporate Lawyers to Watch par la revue Lexpert et est un ancien lauréat du Lexpert Rising Star Award - Top Canadian Lawyers under 40. La pratique de M.</w:t>
      </w:r>
      <w:r>
        <w:rPr>
          <w:rFonts w:ascii="Arial" w:hAnsi="Arial" w:cs="Arial"/>
          <w:bCs/>
          <w:sz w:val="24"/>
          <w:szCs w:val="24"/>
        </w:rPr>
        <w:t> </w:t>
      </w:r>
      <w:r w:rsidRPr="00947531">
        <w:rPr>
          <w:rFonts w:ascii="Arial" w:hAnsi="Arial" w:cs="Arial"/>
          <w:bCs/>
          <w:sz w:val="24"/>
          <w:szCs w:val="24"/>
        </w:rPr>
        <w:t>Chan comprend le droit des affaires et les questions réglementaires connexes, les services financiers et l</w:t>
      </w:r>
      <w:r>
        <w:rPr>
          <w:rFonts w:ascii="Arial" w:hAnsi="Arial" w:cs="Arial"/>
          <w:bCs/>
          <w:sz w:val="24"/>
          <w:szCs w:val="24"/>
        </w:rPr>
        <w:t>’</w:t>
      </w:r>
      <w:r w:rsidRPr="00947531">
        <w:rPr>
          <w:rFonts w:ascii="Arial" w:hAnsi="Arial" w:cs="Arial"/>
          <w:bCs/>
          <w:sz w:val="24"/>
          <w:szCs w:val="24"/>
        </w:rPr>
        <w:t>immigration de gens d</w:t>
      </w:r>
      <w:r>
        <w:rPr>
          <w:rFonts w:ascii="Arial" w:hAnsi="Arial" w:cs="Arial"/>
          <w:bCs/>
          <w:sz w:val="24"/>
          <w:szCs w:val="24"/>
        </w:rPr>
        <w:t>’</w:t>
      </w:r>
      <w:r w:rsidRPr="00947531">
        <w:rPr>
          <w:rFonts w:ascii="Arial" w:hAnsi="Arial" w:cs="Arial"/>
          <w:bCs/>
          <w:sz w:val="24"/>
          <w:szCs w:val="24"/>
        </w:rPr>
        <w:t>affaires stratégique dans une variété de secteurs, y compris la fabrication, les ressources naturelles, l</w:t>
      </w:r>
      <w:r>
        <w:rPr>
          <w:rFonts w:ascii="Arial" w:hAnsi="Arial" w:cs="Arial"/>
          <w:bCs/>
          <w:sz w:val="24"/>
          <w:szCs w:val="24"/>
        </w:rPr>
        <w:t>’</w:t>
      </w:r>
      <w:r w:rsidRPr="00947531">
        <w:rPr>
          <w:rFonts w:ascii="Arial" w:hAnsi="Arial" w:cs="Arial"/>
          <w:bCs/>
          <w:sz w:val="24"/>
          <w:szCs w:val="24"/>
        </w:rPr>
        <w:t>agroentreprise et l</w:t>
      </w:r>
      <w:r>
        <w:rPr>
          <w:rFonts w:ascii="Arial" w:hAnsi="Arial" w:cs="Arial"/>
          <w:bCs/>
          <w:sz w:val="24"/>
          <w:szCs w:val="24"/>
        </w:rPr>
        <w:t>’</w:t>
      </w:r>
      <w:r w:rsidRPr="00947531">
        <w:rPr>
          <w:rFonts w:ascii="Arial" w:hAnsi="Arial" w:cs="Arial"/>
          <w:bCs/>
          <w:sz w:val="24"/>
          <w:szCs w:val="24"/>
        </w:rPr>
        <w:t>alimentation, les soins de santé, la technologie et l</w:t>
      </w:r>
      <w:r>
        <w:rPr>
          <w:rFonts w:ascii="Arial" w:hAnsi="Arial" w:cs="Arial"/>
          <w:bCs/>
          <w:sz w:val="24"/>
          <w:szCs w:val="24"/>
        </w:rPr>
        <w:t>’</w:t>
      </w:r>
      <w:r w:rsidRPr="00947531">
        <w:rPr>
          <w:rFonts w:ascii="Arial" w:hAnsi="Arial" w:cs="Arial"/>
          <w:bCs/>
          <w:sz w:val="24"/>
          <w:szCs w:val="24"/>
        </w:rPr>
        <w:t>assurance. Au début de sa carrière, M.</w:t>
      </w:r>
      <w:r>
        <w:rPr>
          <w:rFonts w:ascii="Arial" w:hAnsi="Arial" w:cs="Arial"/>
          <w:bCs/>
          <w:sz w:val="24"/>
          <w:szCs w:val="24"/>
        </w:rPr>
        <w:t> </w:t>
      </w:r>
      <w:r w:rsidRPr="00947531">
        <w:rPr>
          <w:rFonts w:ascii="Arial" w:hAnsi="Arial" w:cs="Arial"/>
          <w:bCs/>
          <w:sz w:val="24"/>
          <w:szCs w:val="24"/>
        </w:rPr>
        <w:t>Chan a pratiqué comme plaideur en litige commercial. </w:t>
      </w:r>
      <w:r w:rsidRPr="00947531">
        <w:rPr>
          <w:rFonts w:ascii="Arial" w:hAnsi="Arial" w:cs="Arial"/>
          <w:bCs/>
          <w:sz w:val="24"/>
          <w:szCs w:val="24"/>
        </w:rPr>
        <w:br/>
      </w:r>
      <w:r w:rsidRPr="00947531">
        <w:rPr>
          <w:rFonts w:ascii="Arial" w:hAnsi="Arial" w:cs="Arial"/>
          <w:bCs/>
          <w:sz w:val="24"/>
          <w:szCs w:val="24"/>
        </w:rPr>
        <w:br/>
      </w:r>
      <w:r w:rsidRPr="00273BA8">
        <w:rPr>
          <w:rFonts w:ascii="Arial" w:hAnsi="Arial" w:cs="Arial"/>
          <w:b/>
          <w:bCs/>
          <w:sz w:val="24"/>
          <w:szCs w:val="24"/>
        </w:rPr>
        <w:t>Doug Downey (associé, Lewis, Downey, Tornosky, Lassaline &amp; Timpano)</w:t>
      </w:r>
    </w:p>
    <w:p w:rsidR="00BA3D23" w:rsidRPr="007A09EB" w:rsidRDefault="00BA3D23" w:rsidP="00BA3D23">
      <w:pPr>
        <w:rPr>
          <w:rFonts w:ascii="Arial" w:hAnsi="Arial" w:cs="Arial"/>
          <w:bCs/>
          <w:sz w:val="24"/>
          <w:szCs w:val="24"/>
          <w:lang w:val="en-CA"/>
        </w:rPr>
      </w:pPr>
      <w:r w:rsidRPr="00947531">
        <w:rPr>
          <w:rFonts w:ascii="Arial" w:hAnsi="Arial" w:cs="Arial"/>
          <w:bCs/>
          <w:sz w:val="24"/>
          <w:szCs w:val="24"/>
        </w:rPr>
        <w:t>M.</w:t>
      </w:r>
      <w:r>
        <w:rPr>
          <w:rFonts w:ascii="Arial" w:hAnsi="Arial" w:cs="Arial"/>
          <w:bCs/>
          <w:sz w:val="24"/>
          <w:szCs w:val="24"/>
        </w:rPr>
        <w:t> </w:t>
      </w:r>
      <w:r w:rsidRPr="00947531">
        <w:rPr>
          <w:rFonts w:ascii="Arial" w:hAnsi="Arial" w:cs="Arial"/>
          <w:bCs/>
          <w:sz w:val="24"/>
          <w:szCs w:val="24"/>
        </w:rPr>
        <w:t>Downey est désigné à titre de spécialiste du droit de l</w:t>
      </w:r>
      <w:r>
        <w:rPr>
          <w:rFonts w:ascii="Arial" w:hAnsi="Arial" w:cs="Arial"/>
          <w:bCs/>
          <w:sz w:val="24"/>
          <w:szCs w:val="24"/>
        </w:rPr>
        <w:t>’</w:t>
      </w:r>
      <w:r w:rsidRPr="00947531">
        <w:rPr>
          <w:rFonts w:ascii="Arial" w:hAnsi="Arial" w:cs="Arial"/>
          <w:bCs/>
          <w:sz w:val="24"/>
          <w:szCs w:val="24"/>
        </w:rPr>
        <w:t>immobilier par le Barreau du Haut-Canada. Il a été trésorier (2010-2014) et secrétaire (2009-2010) de l</w:t>
      </w:r>
      <w:r>
        <w:rPr>
          <w:rFonts w:ascii="Arial" w:hAnsi="Arial" w:cs="Arial"/>
          <w:bCs/>
          <w:sz w:val="24"/>
          <w:szCs w:val="24"/>
        </w:rPr>
        <w:t>’</w:t>
      </w:r>
      <w:r w:rsidRPr="00947531">
        <w:rPr>
          <w:rFonts w:ascii="Arial" w:hAnsi="Arial" w:cs="Arial"/>
          <w:bCs/>
          <w:sz w:val="24"/>
          <w:szCs w:val="24"/>
        </w:rPr>
        <w:t>Association du Barreau de l</w:t>
      </w:r>
      <w:r>
        <w:rPr>
          <w:rFonts w:ascii="Arial" w:hAnsi="Arial" w:cs="Arial"/>
          <w:bCs/>
          <w:sz w:val="24"/>
          <w:szCs w:val="24"/>
        </w:rPr>
        <w:t>’</w:t>
      </w:r>
      <w:r w:rsidRPr="00947531">
        <w:rPr>
          <w:rFonts w:ascii="Arial" w:hAnsi="Arial" w:cs="Arial"/>
          <w:bCs/>
          <w:sz w:val="24"/>
          <w:szCs w:val="24"/>
        </w:rPr>
        <w:t>Ontario. Il a été professeur au Georgian College de l</w:t>
      </w:r>
      <w:r>
        <w:rPr>
          <w:rFonts w:ascii="Arial" w:hAnsi="Arial" w:cs="Arial"/>
          <w:bCs/>
          <w:sz w:val="24"/>
          <w:szCs w:val="24"/>
        </w:rPr>
        <w:t>’</w:t>
      </w:r>
      <w:r w:rsidRPr="00947531">
        <w:rPr>
          <w:rFonts w:ascii="Arial" w:hAnsi="Arial" w:cs="Arial"/>
          <w:bCs/>
          <w:sz w:val="24"/>
          <w:szCs w:val="24"/>
        </w:rPr>
        <w:t>Université Laurentienne et a donné, au Barreau, le cours de droit immobilier. M.</w:t>
      </w:r>
      <w:r>
        <w:rPr>
          <w:rFonts w:ascii="Arial" w:hAnsi="Arial" w:cs="Arial"/>
          <w:bCs/>
          <w:sz w:val="24"/>
          <w:szCs w:val="24"/>
        </w:rPr>
        <w:t> </w:t>
      </w:r>
      <w:r w:rsidRPr="00947531">
        <w:rPr>
          <w:rFonts w:ascii="Arial" w:hAnsi="Arial" w:cs="Arial"/>
          <w:bCs/>
          <w:sz w:val="24"/>
          <w:szCs w:val="24"/>
        </w:rPr>
        <w:t>Downey est actuellement l</w:t>
      </w:r>
      <w:r>
        <w:rPr>
          <w:rFonts w:ascii="Arial" w:hAnsi="Arial" w:cs="Arial"/>
          <w:bCs/>
          <w:sz w:val="24"/>
          <w:szCs w:val="24"/>
        </w:rPr>
        <w:t>’</w:t>
      </w:r>
      <w:r w:rsidRPr="00947531">
        <w:rPr>
          <w:rFonts w:ascii="Arial" w:hAnsi="Arial" w:cs="Arial"/>
          <w:bCs/>
          <w:sz w:val="24"/>
          <w:szCs w:val="24"/>
        </w:rPr>
        <w:t>hôte de Politically Speaking, Orillia, une émission d</w:t>
      </w:r>
      <w:r>
        <w:rPr>
          <w:rFonts w:ascii="Arial" w:hAnsi="Arial" w:cs="Arial"/>
          <w:bCs/>
          <w:sz w:val="24"/>
          <w:szCs w:val="24"/>
        </w:rPr>
        <w:t>’</w:t>
      </w:r>
      <w:r w:rsidRPr="00947531">
        <w:rPr>
          <w:rFonts w:ascii="Arial" w:hAnsi="Arial" w:cs="Arial"/>
          <w:bCs/>
          <w:sz w:val="24"/>
          <w:szCs w:val="24"/>
        </w:rPr>
        <w:t>actualités à Rogers TV.</w:t>
      </w:r>
      <w:r>
        <w:rPr>
          <w:rFonts w:ascii="Arial" w:hAnsi="Arial" w:cs="Arial"/>
          <w:bCs/>
          <w:sz w:val="24"/>
          <w:szCs w:val="24"/>
        </w:rPr>
        <w:t xml:space="preserve"> </w:t>
      </w:r>
      <w:r w:rsidRPr="00947531">
        <w:rPr>
          <w:rFonts w:ascii="Arial" w:hAnsi="Arial" w:cs="Arial"/>
          <w:bCs/>
          <w:sz w:val="24"/>
          <w:szCs w:val="24"/>
        </w:rPr>
        <w:t>Il est chargé de l</w:t>
      </w:r>
      <w:r>
        <w:rPr>
          <w:rFonts w:ascii="Arial" w:hAnsi="Arial" w:cs="Arial"/>
          <w:bCs/>
          <w:sz w:val="24"/>
          <w:szCs w:val="24"/>
        </w:rPr>
        <w:t>’</w:t>
      </w:r>
      <w:r w:rsidRPr="00947531">
        <w:rPr>
          <w:rFonts w:ascii="Arial" w:hAnsi="Arial" w:cs="Arial"/>
          <w:bCs/>
          <w:sz w:val="24"/>
          <w:szCs w:val="24"/>
        </w:rPr>
        <w:t>élaboration du programme d</w:t>
      </w:r>
      <w:r>
        <w:rPr>
          <w:rFonts w:ascii="Arial" w:hAnsi="Arial" w:cs="Arial"/>
          <w:bCs/>
          <w:sz w:val="24"/>
          <w:szCs w:val="24"/>
        </w:rPr>
        <w:t>’</w:t>
      </w:r>
      <w:r w:rsidRPr="00947531">
        <w:rPr>
          <w:rFonts w:ascii="Arial" w:hAnsi="Arial" w:cs="Arial"/>
          <w:bCs/>
          <w:sz w:val="24"/>
          <w:szCs w:val="24"/>
        </w:rPr>
        <w:t xml:space="preserve">exercice du droit (Law Practice Program) (solution de </w:t>
      </w:r>
      <w:r w:rsidRPr="00947531">
        <w:rPr>
          <w:rFonts w:ascii="Arial" w:hAnsi="Arial" w:cs="Arial"/>
          <w:bCs/>
          <w:sz w:val="24"/>
          <w:szCs w:val="24"/>
        </w:rPr>
        <w:lastRenderedPageBreak/>
        <w:t>rechange au stage d</w:t>
      </w:r>
      <w:r>
        <w:rPr>
          <w:rFonts w:ascii="Arial" w:hAnsi="Arial" w:cs="Arial"/>
          <w:bCs/>
          <w:sz w:val="24"/>
          <w:szCs w:val="24"/>
        </w:rPr>
        <w:t>’</w:t>
      </w:r>
      <w:r w:rsidRPr="00947531">
        <w:rPr>
          <w:rFonts w:ascii="Arial" w:hAnsi="Arial" w:cs="Arial"/>
          <w:bCs/>
          <w:sz w:val="24"/>
          <w:szCs w:val="24"/>
        </w:rPr>
        <w:t>avocat) de l</w:t>
      </w:r>
      <w:r>
        <w:rPr>
          <w:rFonts w:ascii="Arial" w:hAnsi="Arial" w:cs="Arial"/>
          <w:bCs/>
          <w:sz w:val="24"/>
          <w:szCs w:val="24"/>
        </w:rPr>
        <w:t>’</w:t>
      </w:r>
      <w:r w:rsidRPr="00947531">
        <w:rPr>
          <w:rFonts w:ascii="Arial" w:hAnsi="Arial" w:cs="Arial"/>
          <w:bCs/>
          <w:sz w:val="24"/>
          <w:szCs w:val="24"/>
        </w:rPr>
        <w:t>Association du Barreau de l</w:t>
      </w:r>
      <w:r>
        <w:rPr>
          <w:rFonts w:ascii="Arial" w:hAnsi="Arial" w:cs="Arial"/>
          <w:bCs/>
          <w:sz w:val="24"/>
          <w:szCs w:val="24"/>
        </w:rPr>
        <w:t>’</w:t>
      </w:r>
      <w:r w:rsidRPr="00947531">
        <w:rPr>
          <w:rFonts w:ascii="Arial" w:hAnsi="Arial" w:cs="Arial"/>
          <w:bCs/>
          <w:sz w:val="24"/>
          <w:szCs w:val="24"/>
        </w:rPr>
        <w:t>Ontario dans le cadre d</w:t>
      </w:r>
      <w:r>
        <w:rPr>
          <w:rFonts w:ascii="Arial" w:hAnsi="Arial" w:cs="Arial"/>
          <w:bCs/>
          <w:sz w:val="24"/>
          <w:szCs w:val="24"/>
        </w:rPr>
        <w:t>’</w:t>
      </w:r>
      <w:r w:rsidRPr="00947531">
        <w:rPr>
          <w:rFonts w:ascii="Arial" w:hAnsi="Arial" w:cs="Arial"/>
          <w:bCs/>
          <w:sz w:val="24"/>
          <w:szCs w:val="24"/>
        </w:rPr>
        <w:t>une alliance stratégique avec l</w:t>
      </w:r>
      <w:r>
        <w:rPr>
          <w:rFonts w:ascii="Arial" w:hAnsi="Arial" w:cs="Arial"/>
          <w:bCs/>
          <w:sz w:val="24"/>
          <w:szCs w:val="24"/>
        </w:rPr>
        <w:t>’</w:t>
      </w:r>
      <w:r w:rsidRPr="00947531">
        <w:rPr>
          <w:rFonts w:ascii="Arial" w:hAnsi="Arial" w:cs="Arial"/>
          <w:bCs/>
          <w:sz w:val="24"/>
          <w:szCs w:val="24"/>
        </w:rPr>
        <w:t>Université Ryerson. À la demande du trésorier du Barreau, il a siégé au comité des services de bibliothèque et de soutien à l</w:t>
      </w:r>
      <w:r>
        <w:rPr>
          <w:rFonts w:ascii="Arial" w:hAnsi="Arial" w:cs="Arial"/>
          <w:bCs/>
          <w:sz w:val="24"/>
          <w:szCs w:val="24"/>
        </w:rPr>
        <w:t>’</w:t>
      </w:r>
      <w:r w:rsidRPr="00947531">
        <w:rPr>
          <w:rFonts w:ascii="Arial" w:hAnsi="Arial" w:cs="Arial"/>
          <w:bCs/>
          <w:sz w:val="24"/>
          <w:szCs w:val="24"/>
        </w:rPr>
        <w:t>information, qui élaborait des recommandations. M.</w:t>
      </w:r>
      <w:r>
        <w:rPr>
          <w:rFonts w:ascii="Arial" w:hAnsi="Arial" w:cs="Arial"/>
          <w:bCs/>
          <w:sz w:val="24"/>
          <w:szCs w:val="24"/>
        </w:rPr>
        <w:t> </w:t>
      </w:r>
      <w:r w:rsidRPr="00947531">
        <w:rPr>
          <w:rFonts w:ascii="Arial" w:hAnsi="Arial" w:cs="Arial"/>
          <w:bCs/>
          <w:sz w:val="24"/>
          <w:szCs w:val="24"/>
        </w:rPr>
        <w:t>Downey a été membre du Comité d</w:t>
      </w:r>
      <w:r>
        <w:rPr>
          <w:rFonts w:ascii="Arial" w:hAnsi="Arial" w:cs="Arial"/>
          <w:bCs/>
          <w:sz w:val="24"/>
          <w:szCs w:val="24"/>
        </w:rPr>
        <w:t>’</w:t>
      </w:r>
      <w:r w:rsidRPr="00947531">
        <w:rPr>
          <w:rFonts w:ascii="Arial" w:hAnsi="Arial" w:cs="Arial"/>
          <w:bCs/>
          <w:sz w:val="24"/>
          <w:szCs w:val="24"/>
        </w:rPr>
        <w:t>experts sur la réglementation des inspecteurs d</w:t>
      </w:r>
      <w:r>
        <w:rPr>
          <w:rFonts w:ascii="Arial" w:hAnsi="Arial" w:cs="Arial"/>
          <w:bCs/>
          <w:sz w:val="24"/>
          <w:szCs w:val="24"/>
        </w:rPr>
        <w:t>’</w:t>
      </w:r>
      <w:r w:rsidRPr="00947531">
        <w:rPr>
          <w:rFonts w:ascii="Arial" w:hAnsi="Arial" w:cs="Arial"/>
          <w:bCs/>
          <w:sz w:val="24"/>
          <w:szCs w:val="24"/>
        </w:rPr>
        <w:t>habitations et du Comité consultatif des intervenants pour le portefeuille du droit des affaires, du ministère des Services gouvernementaux et des Services aux consommateurs. </w:t>
      </w:r>
      <w:r w:rsidRPr="00947531">
        <w:rPr>
          <w:rFonts w:ascii="Arial" w:hAnsi="Arial" w:cs="Arial"/>
          <w:bCs/>
          <w:sz w:val="24"/>
          <w:szCs w:val="24"/>
        </w:rPr>
        <w:br/>
      </w:r>
      <w:r w:rsidRPr="00947531">
        <w:rPr>
          <w:rFonts w:ascii="Arial" w:hAnsi="Arial" w:cs="Arial"/>
          <w:bCs/>
          <w:sz w:val="24"/>
          <w:szCs w:val="24"/>
        </w:rPr>
        <w:br/>
      </w:r>
      <w:r w:rsidRPr="007A09EB">
        <w:rPr>
          <w:rFonts w:ascii="Arial" w:hAnsi="Arial" w:cs="Arial"/>
          <w:b/>
          <w:bCs/>
          <w:sz w:val="24"/>
          <w:szCs w:val="24"/>
          <w:lang w:val="en-CA"/>
        </w:rPr>
        <w:t>John Ground, C. R. (J. D. Ground Commercial Resolutions Inc.)</w:t>
      </w:r>
    </w:p>
    <w:p w:rsidR="00BA3D23" w:rsidRPr="00947531" w:rsidRDefault="00BA3D23" w:rsidP="00BA3D23">
      <w:pPr>
        <w:rPr>
          <w:rFonts w:ascii="Arial" w:hAnsi="Arial" w:cs="Arial"/>
          <w:bCs/>
          <w:sz w:val="24"/>
          <w:szCs w:val="24"/>
        </w:rPr>
      </w:pPr>
      <w:r w:rsidRPr="00947531">
        <w:rPr>
          <w:rFonts w:ascii="Arial" w:hAnsi="Arial" w:cs="Arial"/>
          <w:bCs/>
          <w:sz w:val="24"/>
          <w:szCs w:val="24"/>
        </w:rPr>
        <w:t>M.</w:t>
      </w:r>
      <w:r>
        <w:rPr>
          <w:rFonts w:ascii="Arial" w:hAnsi="Arial" w:cs="Arial"/>
          <w:bCs/>
          <w:sz w:val="24"/>
          <w:szCs w:val="24"/>
        </w:rPr>
        <w:t> </w:t>
      </w:r>
      <w:r w:rsidRPr="00947531">
        <w:rPr>
          <w:rFonts w:ascii="Arial" w:hAnsi="Arial" w:cs="Arial"/>
          <w:bCs/>
          <w:sz w:val="24"/>
          <w:szCs w:val="24"/>
        </w:rPr>
        <w:t>Ground est arbitre et médiateur chez Amicus Chambers. Sa pratique se concentre sur les questions commerciales et d</w:t>
      </w:r>
      <w:r>
        <w:rPr>
          <w:rFonts w:ascii="Arial" w:hAnsi="Arial" w:cs="Arial"/>
          <w:bCs/>
          <w:sz w:val="24"/>
          <w:szCs w:val="24"/>
        </w:rPr>
        <w:t>’</w:t>
      </w:r>
      <w:r w:rsidRPr="00947531">
        <w:rPr>
          <w:rFonts w:ascii="Arial" w:hAnsi="Arial" w:cs="Arial"/>
          <w:bCs/>
          <w:sz w:val="24"/>
          <w:szCs w:val="24"/>
        </w:rPr>
        <w:t>entreprise. Il a été nommé à la Cour supérieure de l</w:t>
      </w:r>
      <w:r>
        <w:rPr>
          <w:rFonts w:ascii="Arial" w:hAnsi="Arial" w:cs="Arial"/>
          <w:bCs/>
          <w:sz w:val="24"/>
          <w:szCs w:val="24"/>
        </w:rPr>
        <w:t>’</w:t>
      </w:r>
      <w:r w:rsidRPr="00947531">
        <w:rPr>
          <w:rFonts w:ascii="Arial" w:hAnsi="Arial" w:cs="Arial"/>
          <w:bCs/>
          <w:sz w:val="24"/>
          <w:szCs w:val="24"/>
        </w:rPr>
        <w:t>Ontario en 1991, où il a passé la moitié son temps à présider aux procès au rôle commercial et pendant un certain temps a été le juge responsable du rôle commercial. Il entre à la magistrature après plus de 30</w:t>
      </w:r>
      <w:r>
        <w:rPr>
          <w:rFonts w:ascii="Arial" w:hAnsi="Arial" w:cs="Arial"/>
          <w:bCs/>
          <w:sz w:val="24"/>
          <w:szCs w:val="24"/>
        </w:rPr>
        <w:t> </w:t>
      </w:r>
      <w:r w:rsidRPr="00947531">
        <w:rPr>
          <w:rFonts w:ascii="Arial" w:hAnsi="Arial" w:cs="Arial"/>
          <w:bCs/>
          <w:sz w:val="24"/>
          <w:szCs w:val="24"/>
        </w:rPr>
        <w:t>ans chez Osler, Hoskin &amp; Harcourt LLP, où il a pratiqué le droit des sociétés et le droit commercial et a été membre du Comité directeur de la firme. M.</w:t>
      </w:r>
      <w:r>
        <w:rPr>
          <w:rFonts w:ascii="Arial" w:hAnsi="Arial" w:cs="Arial"/>
          <w:bCs/>
          <w:sz w:val="24"/>
          <w:szCs w:val="24"/>
        </w:rPr>
        <w:t> </w:t>
      </w:r>
      <w:r w:rsidRPr="00947531">
        <w:rPr>
          <w:rFonts w:ascii="Arial" w:hAnsi="Arial" w:cs="Arial"/>
          <w:bCs/>
          <w:sz w:val="24"/>
          <w:szCs w:val="24"/>
        </w:rPr>
        <w:t>Ground était un conseiller du Barreau du Haut-Canada de 1975 à 1991 et a servi comme président du comité des finances, du comité de la formation juridique, du comité de la conduite professionnelle et du comité des admissions et a été président de la Fédération des ordres professionnels de juristes du Canada. Il est actuellement conseiller à vie. Il a été membre de l</w:t>
      </w:r>
      <w:r>
        <w:rPr>
          <w:rFonts w:ascii="Arial" w:hAnsi="Arial" w:cs="Arial"/>
          <w:bCs/>
          <w:sz w:val="24"/>
          <w:szCs w:val="24"/>
        </w:rPr>
        <w:t>’</w:t>
      </w:r>
      <w:r w:rsidRPr="00947531">
        <w:rPr>
          <w:rFonts w:ascii="Arial" w:hAnsi="Arial" w:cs="Arial"/>
          <w:bCs/>
          <w:sz w:val="24"/>
          <w:szCs w:val="24"/>
        </w:rPr>
        <w:t>exécutif de l</w:t>
      </w:r>
      <w:r>
        <w:rPr>
          <w:rFonts w:ascii="Arial" w:hAnsi="Arial" w:cs="Arial"/>
          <w:bCs/>
          <w:sz w:val="24"/>
          <w:szCs w:val="24"/>
        </w:rPr>
        <w:t>’</w:t>
      </w:r>
      <w:r w:rsidRPr="00947531">
        <w:rPr>
          <w:rFonts w:ascii="Arial" w:hAnsi="Arial" w:cs="Arial"/>
          <w:bCs/>
          <w:sz w:val="24"/>
          <w:szCs w:val="24"/>
        </w:rPr>
        <w:t xml:space="preserve">ABC - Ontario et du </w:t>
      </w:r>
      <w:r>
        <w:rPr>
          <w:rFonts w:ascii="Arial" w:hAnsi="Arial" w:cs="Arial"/>
          <w:bCs/>
          <w:sz w:val="24"/>
          <w:szCs w:val="24"/>
        </w:rPr>
        <w:t>C</w:t>
      </w:r>
      <w:r w:rsidRPr="00947531">
        <w:rPr>
          <w:rFonts w:ascii="Arial" w:hAnsi="Arial" w:cs="Arial"/>
          <w:bCs/>
          <w:sz w:val="24"/>
          <w:szCs w:val="24"/>
        </w:rPr>
        <w:t>onseil national de l</w:t>
      </w:r>
      <w:r>
        <w:rPr>
          <w:rFonts w:ascii="Arial" w:hAnsi="Arial" w:cs="Arial"/>
          <w:bCs/>
          <w:sz w:val="24"/>
          <w:szCs w:val="24"/>
        </w:rPr>
        <w:t>’</w:t>
      </w:r>
      <w:r w:rsidRPr="00947531">
        <w:rPr>
          <w:rFonts w:ascii="Arial" w:hAnsi="Arial" w:cs="Arial"/>
          <w:bCs/>
          <w:sz w:val="24"/>
          <w:szCs w:val="24"/>
        </w:rPr>
        <w:t>Association du Barreau canadien. De 1989 à 1994, il a été membre du conseil consultatif de la Commission de réforme du droit de l</w:t>
      </w:r>
      <w:r>
        <w:rPr>
          <w:rFonts w:ascii="Arial" w:hAnsi="Arial" w:cs="Arial"/>
          <w:bCs/>
          <w:sz w:val="24"/>
          <w:szCs w:val="24"/>
        </w:rPr>
        <w:t>’</w:t>
      </w:r>
      <w:r w:rsidRPr="00947531">
        <w:rPr>
          <w:rFonts w:ascii="Arial" w:hAnsi="Arial" w:cs="Arial"/>
          <w:bCs/>
          <w:sz w:val="24"/>
          <w:szCs w:val="24"/>
        </w:rPr>
        <w:t>Ontario et membre du conseil consultatif sur la vente à terme de marchandises de la Commission des valeurs mobilières de l</w:t>
      </w:r>
      <w:r>
        <w:rPr>
          <w:rFonts w:ascii="Arial" w:hAnsi="Arial" w:cs="Arial"/>
          <w:bCs/>
          <w:sz w:val="24"/>
          <w:szCs w:val="24"/>
        </w:rPr>
        <w:t>’</w:t>
      </w:r>
      <w:r w:rsidRPr="00947531">
        <w:rPr>
          <w:rFonts w:ascii="Arial" w:hAnsi="Arial" w:cs="Arial"/>
          <w:bCs/>
          <w:sz w:val="24"/>
          <w:szCs w:val="24"/>
        </w:rPr>
        <w:t>Ontario, de 1979 à 1983. </w:t>
      </w:r>
      <w:r w:rsidRPr="00947531">
        <w:rPr>
          <w:rFonts w:ascii="Arial" w:hAnsi="Arial" w:cs="Arial"/>
          <w:bCs/>
          <w:sz w:val="24"/>
          <w:szCs w:val="24"/>
        </w:rPr>
        <w:br/>
      </w:r>
      <w:r w:rsidRPr="00947531">
        <w:rPr>
          <w:rFonts w:ascii="Arial" w:hAnsi="Arial" w:cs="Arial"/>
          <w:bCs/>
          <w:sz w:val="24"/>
          <w:szCs w:val="24"/>
        </w:rPr>
        <w:br/>
      </w:r>
      <w:r w:rsidRPr="00273BA8">
        <w:rPr>
          <w:rFonts w:ascii="Arial" w:hAnsi="Arial" w:cs="Arial"/>
          <w:b/>
          <w:bCs/>
          <w:sz w:val="24"/>
          <w:szCs w:val="24"/>
        </w:rPr>
        <w:t>Andrea Johnson (associée, Dentons LLP)</w:t>
      </w:r>
    </w:p>
    <w:p w:rsidR="00BA3D23" w:rsidRPr="00947531" w:rsidRDefault="00BA3D23" w:rsidP="00BA3D23">
      <w:pPr>
        <w:rPr>
          <w:rFonts w:ascii="Arial" w:hAnsi="Arial" w:cs="Arial"/>
          <w:bCs/>
          <w:sz w:val="24"/>
          <w:szCs w:val="24"/>
        </w:rPr>
      </w:pPr>
      <w:r w:rsidRPr="00947531">
        <w:rPr>
          <w:rFonts w:ascii="Arial" w:hAnsi="Arial" w:cs="Arial"/>
          <w:bCs/>
          <w:sz w:val="24"/>
          <w:szCs w:val="24"/>
        </w:rPr>
        <w:t xml:space="preserve">La pratique de </w:t>
      </w:r>
      <w:r w:rsidRPr="00947531">
        <w:rPr>
          <w:rFonts w:ascii="Arial" w:hAnsi="Arial" w:cs="Arial" w:hint="eastAsia"/>
          <w:bCs/>
          <w:sz w:val="24"/>
          <w:szCs w:val="24"/>
        </w:rPr>
        <w:t>M</w:t>
      </w:r>
      <w:r w:rsidRPr="00947531">
        <w:rPr>
          <w:rFonts w:ascii="Arial" w:hAnsi="Arial" w:cs="Arial" w:hint="eastAsia"/>
          <w:bCs/>
          <w:sz w:val="24"/>
          <w:szCs w:val="24"/>
          <w:vertAlign w:val="superscript"/>
        </w:rPr>
        <w:t>me</w:t>
      </w:r>
      <w:r>
        <w:rPr>
          <w:rFonts w:ascii="Arial" w:hAnsi="Arial" w:cs="Arial"/>
          <w:bCs/>
          <w:sz w:val="24"/>
          <w:szCs w:val="24"/>
        </w:rPr>
        <w:t> </w:t>
      </w:r>
      <w:r w:rsidRPr="00947531">
        <w:rPr>
          <w:rFonts w:ascii="Arial" w:hAnsi="Arial" w:cs="Arial"/>
          <w:bCs/>
          <w:sz w:val="24"/>
          <w:szCs w:val="24"/>
        </w:rPr>
        <w:t>Johnson met l</w:t>
      </w:r>
      <w:r>
        <w:rPr>
          <w:rFonts w:ascii="Arial" w:hAnsi="Arial" w:cs="Arial"/>
          <w:bCs/>
          <w:sz w:val="24"/>
          <w:szCs w:val="24"/>
        </w:rPr>
        <w:t>’</w:t>
      </w:r>
      <w:r w:rsidRPr="00947531">
        <w:rPr>
          <w:rFonts w:ascii="Arial" w:hAnsi="Arial" w:cs="Arial"/>
          <w:bCs/>
          <w:sz w:val="24"/>
          <w:szCs w:val="24"/>
        </w:rPr>
        <w:t>accent sur le droit des sociétés et le droit des valeurs mobilières, particulièrement sur la technologie et les nouvelles entreprises en croissance. Elle possède une vaste expérience dans les domaines des capitaux d</w:t>
      </w:r>
      <w:r>
        <w:rPr>
          <w:rFonts w:ascii="Arial" w:hAnsi="Arial" w:cs="Arial"/>
          <w:bCs/>
          <w:sz w:val="24"/>
          <w:szCs w:val="24"/>
        </w:rPr>
        <w:t>’</w:t>
      </w:r>
      <w:r w:rsidRPr="00947531">
        <w:rPr>
          <w:rFonts w:ascii="Arial" w:hAnsi="Arial" w:cs="Arial"/>
          <w:bCs/>
          <w:sz w:val="24"/>
          <w:szCs w:val="24"/>
        </w:rPr>
        <w:t xml:space="preserve">investissement et de capital de risque, et a agi comme avocate principale sur plusieurs des plus grands financements de capital de risque au Canada. </w:t>
      </w:r>
      <w:r w:rsidRPr="00273BA8">
        <w:rPr>
          <w:rFonts w:ascii="Arial" w:hAnsi="Arial" w:cs="Arial" w:hint="eastAsia"/>
          <w:bCs/>
          <w:sz w:val="24"/>
          <w:szCs w:val="24"/>
        </w:rPr>
        <w:t>M</w:t>
      </w:r>
      <w:r w:rsidRPr="00273BA8">
        <w:rPr>
          <w:rFonts w:ascii="Arial" w:hAnsi="Arial" w:cs="Arial" w:hint="eastAsia"/>
          <w:bCs/>
          <w:sz w:val="24"/>
          <w:szCs w:val="24"/>
          <w:vertAlign w:val="superscript"/>
        </w:rPr>
        <w:t>me</w:t>
      </w:r>
      <w:r>
        <w:rPr>
          <w:rFonts w:ascii="Arial" w:hAnsi="Arial" w:cs="Arial"/>
          <w:bCs/>
          <w:sz w:val="24"/>
          <w:szCs w:val="24"/>
        </w:rPr>
        <w:t> </w:t>
      </w:r>
      <w:r w:rsidRPr="00947531">
        <w:rPr>
          <w:rFonts w:ascii="Arial" w:hAnsi="Arial" w:cs="Arial"/>
          <w:bCs/>
          <w:sz w:val="24"/>
          <w:szCs w:val="24"/>
        </w:rPr>
        <w:t>Johnson conseille également des sociétés cotées à la bourse de Toronto sur les premiers appels publics à l</w:t>
      </w:r>
      <w:r>
        <w:rPr>
          <w:rFonts w:ascii="Arial" w:hAnsi="Arial" w:cs="Arial"/>
          <w:bCs/>
          <w:sz w:val="24"/>
          <w:szCs w:val="24"/>
        </w:rPr>
        <w:t>’</w:t>
      </w:r>
      <w:r w:rsidRPr="00947531">
        <w:rPr>
          <w:rFonts w:ascii="Arial" w:hAnsi="Arial" w:cs="Arial"/>
          <w:bCs/>
          <w:sz w:val="24"/>
          <w:szCs w:val="24"/>
        </w:rPr>
        <w:t>épargne (PAPE), les financements, les fusions et acquisitions, la rémunération à base d</w:t>
      </w:r>
      <w:r>
        <w:rPr>
          <w:rFonts w:ascii="Arial" w:hAnsi="Arial" w:cs="Arial"/>
          <w:bCs/>
          <w:sz w:val="24"/>
          <w:szCs w:val="24"/>
        </w:rPr>
        <w:t>’</w:t>
      </w:r>
      <w:r w:rsidRPr="00947531">
        <w:rPr>
          <w:rFonts w:ascii="Arial" w:hAnsi="Arial" w:cs="Arial"/>
          <w:bCs/>
          <w:sz w:val="24"/>
          <w:szCs w:val="24"/>
        </w:rPr>
        <w:t>actions et la gouvernance d</w:t>
      </w:r>
      <w:r>
        <w:rPr>
          <w:rFonts w:ascii="Arial" w:hAnsi="Arial" w:cs="Arial"/>
          <w:bCs/>
          <w:sz w:val="24"/>
          <w:szCs w:val="24"/>
        </w:rPr>
        <w:t>’</w:t>
      </w:r>
      <w:r w:rsidRPr="00947531">
        <w:rPr>
          <w:rFonts w:ascii="Arial" w:hAnsi="Arial" w:cs="Arial"/>
          <w:bCs/>
          <w:sz w:val="24"/>
          <w:szCs w:val="24"/>
        </w:rPr>
        <w:t>entreprise. Mme</w:t>
      </w:r>
      <w:r>
        <w:rPr>
          <w:rFonts w:ascii="Arial" w:hAnsi="Arial" w:cs="Arial"/>
          <w:bCs/>
          <w:sz w:val="24"/>
          <w:szCs w:val="24"/>
        </w:rPr>
        <w:t> </w:t>
      </w:r>
      <w:r w:rsidRPr="00947531">
        <w:rPr>
          <w:rFonts w:ascii="Arial" w:hAnsi="Arial" w:cs="Arial"/>
          <w:bCs/>
          <w:sz w:val="24"/>
          <w:szCs w:val="24"/>
        </w:rPr>
        <w:t>Johnson a été reconnue par The Legal 500 Canada dans le domaine du droit des sociétés et des fusions et acquisitions (2015), par Best Lawyers® in Canada</w:t>
      </w:r>
      <w:r>
        <w:rPr>
          <w:rFonts w:ascii="Arial" w:hAnsi="Arial" w:cs="Arial"/>
          <w:bCs/>
          <w:sz w:val="24"/>
          <w:szCs w:val="24"/>
        </w:rPr>
        <w:t> </w:t>
      </w:r>
      <w:r w:rsidRPr="00947531">
        <w:rPr>
          <w:rFonts w:ascii="Arial" w:hAnsi="Arial" w:cs="Arial"/>
          <w:bCs/>
          <w:sz w:val="24"/>
          <w:szCs w:val="24"/>
        </w:rPr>
        <w:t>2015 comme l</w:t>
      </w:r>
      <w:r>
        <w:rPr>
          <w:rFonts w:ascii="Arial" w:hAnsi="Arial" w:cs="Arial"/>
          <w:bCs/>
          <w:sz w:val="24"/>
          <w:szCs w:val="24"/>
        </w:rPr>
        <w:t>’</w:t>
      </w:r>
      <w:r w:rsidRPr="00947531">
        <w:rPr>
          <w:rFonts w:ascii="Arial" w:hAnsi="Arial" w:cs="Arial"/>
          <w:bCs/>
          <w:sz w:val="24"/>
          <w:szCs w:val="24"/>
        </w:rPr>
        <w:t>une des principales avocates au Canada dans les domaines du droit des sociétés (2010-2015), du droit des valeurs mobilières et droit des technologies (2014, 2015) et nommée l</w:t>
      </w:r>
      <w:r>
        <w:rPr>
          <w:rFonts w:ascii="Arial" w:hAnsi="Arial" w:cs="Arial"/>
          <w:bCs/>
          <w:sz w:val="24"/>
          <w:szCs w:val="24"/>
        </w:rPr>
        <w:t>’</w:t>
      </w:r>
      <w:r w:rsidRPr="00947531">
        <w:rPr>
          <w:rFonts w:ascii="Arial" w:hAnsi="Arial" w:cs="Arial"/>
          <w:bCs/>
          <w:sz w:val="24"/>
          <w:szCs w:val="24"/>
        </w:rPr>
        <w:t>une des Top</w:t>
      </w:r>
      <w:r>
        <w:rPr>
          <w:rFonts w:ascii="Arial" w:hAnsi="Arial" w:cs="Arial"/>
          <w:bCs/>
          <w:sz w:val="24"/>
          <w:szCs w:val="24"/>
        </w:rPr>
        <w:t> </w:t>
      </w:r>
      <w:r w:rsidRPr="00947531">
        <w:rPr>
          <w:rFonts w:ascii="Arial" w:hAnsi="Arial" w:cs="Arial"/>
          <w:bCs/>
          <w:sz w:val="24"/>
          <w:szCs w:val="24"/>
        </w:rPr>
        <w:t>25 People of Ottawa par Ottawa Life Magazine. </w:t>
      </w:r>
      <w:r w:rsidRPr="00947531">
        <w:rPr>
          <w:rFonts w:ascii="Arial" w:hAnsi="Arial" w:cs="Arial"/>
          <w:bCs/>
          <w:sz w:val="24"/>
          <w:szCs w:val="24"/>
        </w:rPr>
        <w:br/>
      </w:r>
      <w:r w:rsidRPr="00947531">
        <w:rPr>
          <w:rFonts w:ascii="Arial" w:hAnsi="Arial" w:cs="Arial"/>
          <w:bCs/>
          <w:sz w:val="24"/>
          <w:szCs w:val="24"/>
        </w:rPr>
        <w:br/>
      </w:r>
      <w:r w:rsidRPr="00273BA8">
        <w:rPr>
          <w:rFonts w:ascii="Arial" w:hAnsi="Arial" w:cs="Arial"/>
          <w:b/>
          <w:bCs/>
          <w:sz w:val="24"/>
          <w:szCs w:val="24"/>
        </w:rPr>
        <w:t>Sheila Murray (présidente, CI Financial Corp)</w:t>
      </w:r>
    </w:p>
    <w:p w:rsidR="00BA3D23" w:rsidRPr="00947531" w:rsidRDefault="00BA3D23" w:rsidP="00BA3D23">
      <w:pPr>
        <w:rPr>
          <w:rFonts w:ascii="Arial" w:hAnsi="Arial" w:cs="Arial"/>
          <w:bCs/>
          <w:sz w:val="24"/>
          <w:szCs w:val="24"/>
        </w:rPr>
      </w:pPr>
      <w:r w:rsidRPr="00273BA8">
        <w:rPr>
          <w:rFonts w:ascii="Arial" w:hAnsi="Arial" w:cs="Arial" w:hint="eastAsia"/>
          <w:bCs/>
          <w:sz w:val="24"/>
          <w:szCs w:val="24"/>
        </w:rPr>
        <w:t>M</w:t>
      </w:r>
      <w:r w:rsidRPr="00273BA8">
        <w:rPr>
          <w:rFonts w:ascii="Arial" w:hAnsi="Arial" w:cs="Arial" w:hint="eastAsia"/>
          <w:bCs/>
          <w:sz w:val="24"/>
          <w:szCs w:val="24"/>
          <w:vertAlign w:val="superscript"/>
        </w:rPr>
        <w:t>me</w:t>
      </w:r>
      <w:r>
        <w:rPr>
          <w:rFonts w:ascii="Arial" w:hAnsi="Arial" w:cs="Arial"/>
          <w:bCs/>
          <w:sz w:val="24"/>
          <w:szCs w:val="24"/>
        </w:rPr>
        <w:t> </w:t>
      </w:r>
      <w:r w:rsidRPr="00947531">
        <w:rPr>
          <w:rFonts w:ascii="Arial" w:hAnsi="Arial" w:cs="Arial"/>
          <w:bCs/>
          <w:sz w:val="24"/>
          <w:szCs w:val="24"/>
        </w:rPr>
        <w:t>Murray a récemment été nommée présidente de CI Financial Corp. Elle a été auparavant vice-présidente directrice, chef du contentieux et secrétaire du conseil de CI Financial depuis 2008. À ce titre, elle a fourni des conseils en matière de stratégie, de réglementation des valeurs mobilières et de gouvernance à la société et au conseil d</w:t>
      </w:r>
      <w:r>
        <w:rPr>
          <w:rFonts w:ascii="Arial" w:hAnsi="Arial" w:cs="Arial"/>
          <w:bCs/>
          <w:sz w:val="24"/>
          <w:szCs w:val="24"/>
        </w:rPr>
        <w:t>’</w:t>
      </w:r>
      <w:r w:rsidRPr="00947531">
        <w:rPr>
          <w:rFonts w:ascii="Arial" w:hAnsi="Arial" w:cs="Arial"/>
          <w:bCs/>
          <w:sz w:val="24"/>
          <w:szCs w:val="24"/>
        </w:rPr>
        <w:t xml:space="preserve">administration de celle-ci. </w:t>
      </w:r>
      <w:r w:rsidRPr="00273BA8">
        <w:rPr>
          <w:rFonts w:ascii="Arial" w:hAnsi="Arial" w:cs="Arial" w:hint="eastAsia"/>
          <w:bCs/>
          <w:sz w:val="24"/>
          <w:szCs w:val="24"/>
        </w:rPr>
        <w:t>M</w:t>
      </w:r>
      <w:r w:rsidRPr="00273BA8">
        <w:rPr>
          <w:rFonts w:ascii="Arial" w:hAnsi="Arial" w:cs="Arial" w:hint="eastAsia"/>
          <w:bCs/>
          <w:sz w:val="24"/>
          <w:szCs w:val="24"/>
          <w:vertAlign w:val="superscript"/>
        </w:rPr>
        <w:t>me</w:t>
      </w:r>
      <w:r>
        <w:rPr>
          <w:rFonts w:ascii="Arial" w:hAnsi="Arial" w:cs="Arial"/>
          <w:bCs/>
          <w:sz w:val="24"/>
          <w:szCs w:val="24"/>
        </w:rPr>
        <w:t> </w:t>
      </w:r>
      <w:r w:rsidRPr="00947531">
        <w:rPr>
          <w:rFonts w:ascii="Arial" w:hAnsi="Arial" w:cs="Arial"/>
          <w:bCs/>
          <w:sz w:val="24"/>
          <w:szCs w:val="24"/>
        </w:rPr>
        <w:t>Murray s</w:t>
      </w:r>
      <w:r>
        <w:rPr>
          <w:rFonts w:ascii="Arial" w:hAnsi="Arial" w:cs="Arial"/>
          <w:bCs/>
          <w:sz w:val="24"/>
          <w:szCs w:val="24"/>
        </w:rPr>
        <w:t>’</w:t>
      </w:r>
      <w:r w:rsidRPr="00947531">
        <w:rPr>
          <w:rFonts w:ascii="Arial" w:hAnsi="Arial" w:cs="Arial"/>
          <w:bCs/>
          <w:sz w:val="24"/>
          <w:szCs w:val="24"/>
        </w:rPr>
        <w:t>est jointe à CI en 2008 après une carrière de 25</w:t>
      </w:r>
      <w:r>
        <w:rPr>
          <w:rFonts w:ascii="Arial" w:hAnsi="Arial" w:cs="Arial"/>
          <w:bCs/>
          <w:sz w:val="24"/>
          <w:szCs w:val="24"/>
        </w:rPr>
        <w:t> </w:t>
      </w:r>
      <w:r w:rsidRPr="00947531">
        <w:rPr>
          <w:rFonts w:ascii="Arial" w:hAnsi="Arial" w:cs="Arial"/>
          <w:bCs/>
          <w:sz w:val="24"/>
          <w:szCs w:val="24"/>
        </w:rPr>
        <w:t>ans au sein du cabinet Blake, Cassel's and Graydon LLP où elle a exercé le droit des valeurs mobilières, en particulier dans les domaines des fusions et acquisitions, du financement des sociétés et de la restructuration d</w:t>
      </w:r>
      <w:r>
        <w:rPr>
          <w:rFonts w:ascii="Arial" w:hAnsi="Arial" w:cs="Arial"/>
          <w:bCs/>
          <w:sz w:val="24"/>
          <w:szCs w:val="24"/>
        </w:rPr>
        <w:t>’</w:t>
      </w:r>
      <w:r w:rsidRPr="00947531">
        <w:rPr>
          <w:rFonts w:ascii="Arial" w:hAnsi="Arial" w:cs="Arial"/>
          <w:bCs/>
          <w:sz w:val="24"/>
          <w:szCs w:val="24"/>
        </w:rPr>
        <w:t xml:space="preserve">entreprise. Elle a été membre du Comité consultatif des valeurs mobilières de la Commission des valeurs mobilières de </w:t>
      </w:r>
      <w:r w:rsidRPr="00947531">
        <w:rPr>
          <w:rFonts w:ascii="Arial" w:hAnsi="Arial" w:cs="Arial"/>
          <w:bCs/>
          <w:sz w:val="24"/>
          <w:szCs w:val="24"/>
        </w:rPr>
        <w:lastRenderedPageBreak/>
        <w:t>l</w:t>
      </w:r>
      <w:r>
        <w:rPr>
          <w:rFonts w:ascii="Arial" w:hAnsi="Arial" w:cs="Arial"/>
          <w:bCs/>
          <w:sz w:val="24"/>
          <w:szCs w:val="24"/>
        </w:rPr>
        <w:t>’</w:t>
      </w:r>
      <w:r w:rsidRPr="00947531">
        <w:rPr>
          <w:rFonts w:ascii="Arial" w:hAnsi="Arial" w:cs="Arial"/>
          <w:bCs/>
          <w:sz w:val="24"/>
          <w:szCs w:val="24"/>
        </w:rPr>
        <w:t>Ontario et faisait partie de l</w:t>
      </w:r>
      <w:r>
        <w:rPr>
          <w:rFonts w:ascii="Arial" w:hAnsi="Arial" w:cs="Arial"/>
          <w:bCs/>
          <w:sz w:val="24"/>
          <w:szCs w:val="24"/>
        </w:rPr>
        <w:t>’</w:t>
      </w:r>
      <w:r w:rsidRPr="00947531">
        <w:rPr>
          <w:rFonts w:ascii="Arial" w:hAnsi="Arial" w:cs="Arial"/>
          <w:bCs/>
          <w:sz w:val="24"/>
          <w:szCs w:val="24"/>
        </w:rPr>
        <w:t>équipe des associés de Blakes qui conseillait les organismes de réglementation des valeurs mobilières canadiens au moment de la reformulation des règlements relatifs aux valeurs mobilières et de la rédaction de nouvelles règles et de nouvelles politiques. Elle enseigne actuellement la réglementation des valeurs mobilières et le financement des sociétés dans le cadre du programme Global Professional LLM in Business Law de l</w:t>
      </w:r>
      <w:r>
        <w:rPr>
          <w:rFonts w:ascii="Arial" w:hAnsi="Arial" w:cs="Arial"/>
          <w:bCs/>
          <w:sz w:val="24"/>
          <w:szCs w:val="24"/>
        </w:rPr>
        <w:t>’</w:t>
      </w:r>
      <w:r w:rsidRPr="00947531">
        <w:rPr>
          <w:rFonts w:ascii="Arial" w:hAnsi="Arial" w:cs="Arial"/>
          <w:bCs/>
          <w:sz w:val="24"/>
          <w:szCs w:val="24"/>
        </w:rPr>
        <w:t xml:space="preserve">Université de Toronto. </w:t>
      </w:r>
      <w:r w:rsidRPr="00273BA8">
        <w:rPr>
          <w:rFonts w:ascii="Arial" w:hAnsi="Arial" w:cs="Arial" w:hint="eastAsia"/>
          <w:bCs/>
          <w:sz w:val="24"/>
          <w:szCs w:val="24"/>
        </w:rPr>
        <w:t>M</w:t>
      </w:r>
      <w:r w:rsidRPr="00273BA8">
        <w:rPr>
          <w:rFonts w:ascii="Arial" w:hAnsi="Arial" w:cs="Arial" w:hint="eastAsia"/>
          <w:bCs/>
          <w:sz w:val="24"/>
          <w:szCs w:val="24"/>
          <w:vertAlign w:val="superscript"/>
        </w:rPr>
        <w:t>me</w:t>
      </w:r>
      <w:r>
        <w:rPr>
          <w:rFonts w:ascii="Arial" w:hAnsi="Arial" w:cs="Arial"/>
          <w:bCs/>
          <w:sz w:val="24"/>
          <w:szCs w:val="24"/>
        </w:rPr>
        <w:t> </w:t>
      </w:r>
      <w:r w:rsidRPr="00947531">
        <w:rPr>
          <w:rFonts w:ascii="Arial" w:hAnsi="Arial" w:cs="Arial"/>
          <w:bCs/>
          <w:sz w:val="24"/>
          <w:szCs w:val="24"/>
        </w:rPr>
        <w:t>Murray a été membre du Comité consultatif des intervenants pour le portefeuille du droit des affaires, du ministère des Services gouvernementaux et des Services aux consommateurs. </w:t>
      </w:r>
      <w:r w:rsidRPr="00947531">
        <w:rPr>
          <w:rFonts w:ascii="Arial" w:hAnsi="Arial" w:cs="Arial"/>
          <w:bCs/>
          <w:sz w:val="24"/>
          <w:szCs w:val="24"/>
        </w:rPr>
        <w:br/>
      </w:r>
      <w:r w:rsidRPr="00947531">
        <w:rPr>
          <w:rFonts w:ascii="Arial" w:hAnsi="Arial" w:cs="Arial"/>
          <w:bCs/>
          <w:sz w:val="24"/>
          <w:szCs w:val="24"/>
        </w:rPr>
        <w:br/>
      </w:r>
      <w:r w:rsidRPr="00273BA8">
        <w:rPr>
          <w:rFonts w:ascii="Arial" w:hAnsi="Arial" w:cs="Arial"/>
          <w:b/>
          <w:bCs/>
          <w:sz w:val="24"/>
          <w:szCs w:val="24"/>
        </w:rPr>
        <w:t>Arlene O</w:t>
      </w:r>
      <w:r>
        <w:rPr>
          <w:rFonts w:ascii="Arial" w:hAnsi="Arial" w:cs="Arial"/>
          <w:b/>
          <w:bCs/>
          <w:sz w:val="24"/>
          <w:szCs w:val="24"/>
        </w:rPr>
        <w:t>’</w:t>
      </w:r>
      <w:r w:rsidRPr="00273BA8">
        <w:rPr>
          <w:rFonts w:ascii="Arial" w:hAnsi="Arial" w:cs="Arial"/>
          <w:b/>
          <w:bCs/>
          <w:sz w:val="24"/>
          <w:szCs w:val="24"/>
        </w:rPr>
        <w:t>Neill (associée, Gardiner Roberts LLP)</w:t>
      </w:r>
    </w:p>
    <w:p w:rsidR="00BA3D23" w:rsidRPr="00947531" w:rsidRDefault="00BA3D23" w:rsidP="00BA3D23">
      <w:pPr>
        <w:rPr>
          <w:rFonts w:ascii="Arial" w:hAnsi="Arial" w:cs="Arial"/>
          <w:bCs/>
          <w:sz w:val="24"/>
          <w:szCs w:val="24"/>
        </w:rPr>
      </w:pPr>
      <w:r w:rsidRPr="00273BA8">
        <w:rPr>
          <w:rFonts w:ascii="Arial" w:hAnsi="Arial" w:cs="Arial" w:hint="eastAsia"/>
          <w:bCs/>
          <w:sz w:val="24"/>
          <w:szCs w:val="24"/>
        </w:rPr>
        <w:t>M</w:t>
      </w:r>
      <w:r w:rsidRPr="00273BA8">
        <w:rPr>
          <w:rFonts w:ascii="Arial" w:hAnsi="Arial" w:cs="Arial" w:hint="eastAsia"/>
          <w:bCs/>
          <w:sz w:val="24"/>
          <w:szCs w:val="24"/>
          <w:vertAlign w:val="superscript"/>
        </w:rPr>
        <w:t>me</w:t>
      </w:r>
      <w:r>
        <w:rPr>
          <w:rFonts w:ascii="Arial" w:hAnsi="Arial" w:cs="Arial"/>
          <w:bCs/>
          <w:sz w:val="24"/>
          <w:szCs w:val="24"/>
        </w:rPr>
        <w:t> </w:t>
      </w:r>
      <w:r w:rsidRPr="00947531">
        <w:rPr>
          <w:rFonts w:ascii="Arial" w:hAnsi="Arial" w:cs="Arial"/>
          <w:bCs/>
          <w:sz w:val="24"/>
          <w:szCs w:val="24"/>
        </w:rPr>
        <w:t>O</w:t>
      </w:r>
      <w:r>
        <w:rPr>
          <w:rFonts w:ascii="Arial" w:hAnsi="Arial" w:cs="Arial"/>
          <w:bCs/>
          <w:sz w:val="24"/>
          <w:szCs w:val="24"/>
        </w:rPr>
        <w:t>’</w:t>
      </w:r>
      <w:r w:rsidRPr="00947531">
        <w:rPr>
          <w:rFonts w:ascii="Arial" w:hAnsi="Arial" w:cs="Arial"/>
          <w:bCs/>
          <w:sz w:val="24"/>
          <w:szCs w:val="24"/>
        </w:rPr>
        <w:t>Neill possède une expertise en droit des sociétés et commercial, en particulier sur les entreprises et les actifs en technologie, y compris le logiciel, les médias et les technologies vertes. Alors qu</w:t>
      </w:r>
      <w:r>
        <w:rPr>
          <w:rFonts w:ascii="Arial" w:hAnsi="Arial" w:cs="Arial"/>
          <w:bCs/>
          <w:sz w:val="24"/>
          <w:szCs w:val="24"/>
        </w:rPr>
        <w:t>’</w:t>
      </w:r>
      <w:r w:rsidRPr="00947531">
        <w:rPr>
          <w:rFonts w:ascii="Arial" w:hAnsi="Arial" w:cs="Arial"/>
          <w:bCs/>
          <w:sz w:val="24"/>
          <w:szCs w:val="24"/>
        </w:rPr>
        <w:t>elle conserve une pratique variée en droit commercial, elle a mis l</w:t>
      </w:r>
      <w:r>
        <w:rPr>
          <w:rFonts w:ascii="Arial" w:hAnsi="Arial" w:cs="Arial"/>
          <w:bCs/>
          <w:sz w:val="24"/>
          <w:szCs w:val="24"/>
        </w:rPr>
        <w:t>’</w:t>
      </w:r>
      <w:r w:rsidRPr="00947531">
        <w:rPr>
          <w:rFonts w:ascii="Arial" w:hAnsi="Arial" w:cs="Arial"/>
          <w:bCs/>
          <w:sz w:val="24"/>
          <w:szCs w:val="24"/>
        </w:rPr>
        <w:t xml:space="preserve">accent sur les fusions et acquisitions et le droit des technologies. </w:t>
      </w:r>
      <w:r w:rsidRPr="00273BA8">
        <w:rPr>
          <w:rFonts w:ascii="Arial" w:hAnsi="Arial" w:cs="Arial" w:hint="eastAsia"/>
          <w:bCs/>
          <w:sz w:val="24"/>
          <w:szCs w:val="24"/>
        </w:rPr>
        <w:t>M</w:t>
      </w:r>
      <w:r w:rsidRPr="00273BA8">
        <w:rPr>
          <w:rFonts w:ascii="Arial" w:hAnsi="Arial" w:cs="Arial" w:hint="eastAsia"/>
          <w:bCs/>
          <w:sz w:val="24"/>
          <w:szCs w:val="24"/>
          <w:vertAlign w:val="superscript"/>
        </w:rPr>
        <w:t>me</w:t>
      </w:r>
      <w:r>
        <w:rPr>
          <w:rFonts w:ascii="Arial" w:hAnsi="Arial" w:cs="Arial"/>
          <w:bCs/>
          <w:sz w:val="24"/>
          <w:szCs w:val="24"/>
        </w:rPr>
        <w:t> </w:t>
      </w:r>
      <w:r w:rsidRPr="00947531">
        <w:rPr>
          <w:rFonts w:ascii="Arial" w:hAnsi="Arial" w:cs="Arial"/>
          <w:bCs/>
          <w:sz w:val="24"/>
          <w:szCs w:val="24"/>
        </w:rPr>
        <w:t>O</w:t>
      </w:r>
      <w:r>
        <w:rPr>
          <w:rFonts w:ascii="Arial" w:hAnsi="Arial" w:cs="Arial"/>
          <w:bCs/>
          <w:sz w:val="24"/>
          <w:szCs w:val="24"/>
        </w:rPr>
        <w:t>’</w:t>
      </w:r>
      <w:r w:rsidRPr="00947531">
        <w:rPr>
          <w:rFonts w:ascii="Arial" w:hAnsi="Arial" w:cs="Arial"/>
          <w:bCs/>
          <w:sz w:val="24"/>
          <w:szCs w:val="24"/>
        </w:rPr>
        <w:t>Neill est l</w:t>
      </w:r>
      <w:r>
        <w:rPr>
          <w:rFonts w:ascii="Arial" w:hAnsi="Arial" w:cs="Arial"/>
          <w:bCs/>
          <w:sz w:val="24"/>
          <w:szCs w:val="24"/>
        </w:rPr>
        <w:t>’</w:t>
      </w:r>
      <w:r w:rsidRPr="00947531">
        <w:rPr>
          <w:rFonts w:ascii="Arial" w:hAnsi="Arial" w:cs="Arial"/>
          <w:bCs/>
          <w:sz w:val="24"/>
          <w:szCs w:val="24"/>
        </w:rPr>
        <w:t>ancienne présidente de la direction de la section Droit des affaires de l</w:t>
      </w:r>
      <w:r>
        <w:rPr>
          <w:rFonts w:ascii="Arial" w:hAnsi="Arial" w:cs="Arial"/>
          <w:bCs/>
          <w:sz w:val="24"/>
          <w:szCs w:val="24"/>
        </w:rPr>
        <w:t>’</w:t>
      </w:r>
      <w:r w:rsidRPr="00947531">
        <w:rPr>
          <w:rFonts w:ascii="Arial" w:hAnsi="Arial" w:cs="Arial"/>
          <w:bCs/>
          <w:sz w:val="24"/>
          <w:szCs w:val="24"/>
        </w:rPr>
        <w:t>Association du Barreau de l</w:t>
      </w:r>
      <w:r>
        <w:rPr>
          <w:rFonts w:ascii="Arial" w:hAnsi="Arial" w:cs="Arial"/>
          <w:bCs/>
          <w:sz w:val="24"/>
          <w:szCs w:val="24"/>
        </w:rPr>
        <w:t>’</w:t>
      </w:r>
      <w:r w:rsidRPr="00947531">
        <w:rPr>
          <w:rFonts w:ascii="Arial" w:hAnsi="Arial" w:cs="Arial"/>
          <w:bCs/>
          <w:sz w:val="24"/>
          <w:szCs w:val="24"/>
        </w:rPr>
        <w:t>Ontario. Elle connaît bien avec le droit fiscal et de la technologie et représente des entreprises publiques et privées, des sociétés de capital de risque et de grandes organisations en matière de gouvernance et d</w:t>
      </w:r>
      <w:r>
        <w:rPr>
          <w:rFonts w:ascii="Arial" w:hAnsi="Arial" w:cs="Arial"/>
          <w:bCs/>
          <w:sz w:val="24"/>
          <w:szCs w:val="24"/>
        </w:rPr>
        <w:t>’</w:t>
      </w:r>
      <w:r w:rsidRPr="00947531">
        <w:rPr>
          <w:rFonts w:ascii="Arial" w:hAnsi="Arial" w:cs="Arial"/>
          <w:bCs/>
          <w:sz w:val="24"/>
          <w:szCs w:val="24"/>
        </w:rPr>
        <w:t>enjeux des conseils d</w:t>
      </w:r>
      <w:r>
        <w:rPr>
          <w:rFonts w:ascii="Arial" w:hAnsi="Arial" w:cs="Arial"/>
          <w:bCs/>
          <w:sz w:val="24"/>
          <w:szCs w:val="24"/>
        </w:rPr>
        <w:t>’</w:t>
      </w:r>
      <w:r w:rsidRPr="00947531">
        <w:rPr>
          <w:rFonts w:ascii="Arial" w:hAnsi="Arial" w:cs="Arial"/>
          <w:bCs/>
          <w:sz w:val="24"/>
          <w:szCs w:val="24"/>
        </w:rPr>
        <w:t>administration, des non-résidents qui souhaitent établir des entreprises au Canada et des sociétés canadiennes qui souhaitent structurer leurs opérations nationales et internationales. </w:t>
      </w:r>
      <w:r w:rsidRPr="00947531">
        <w:rPr>
          <w:rFonts w:ascii="Arial" w:hAnsi="Arial" w:cs="Arial"/>
          <w:bCs/>
          <w:sz w:val="24"/>
          <w:szCs w:val="24"/>
        </w:rPr>
        <w:br/>
      </w:r>
      <w:r w:rsidRPr="00947531">
        <w:rPr>
          <w:rFonts w:ascii="Arial" w:hAnsi="Arial" w:cs="Arial"/>
          <w:bCs/>
          <w:sz w:val="24"/>
          <w:szCs w:val="24"/>
        </w:rPr>
        <w:br/>
      </w:r>
      <w:r w:rsidRPr="00273BA8">
        <w:rPr>
          <w:rFonts w:ascii="Arial" w:hAnsi="Arial" w:cs="Arial"/>
          <w:b/>
          <w:bCs/>
          <w:sz w:val="24"/>
          <w:szCs w:val="24"/>
        </w:rPr>
        <w:t>Rob Scavone (avocat, McMillan LLP)</w:t>
      </w:r>
    </w:p>
    <w:p w:rsidR="00BA3D23" w:rsidRPr="00947531" w:rsidRDefault="00BA3D23" w:rsidP="00BA3D23">
      <w:pPr>
        <w:rPr>
          <w:rFonts w:ascii="Arial" w:hAnsi="Arial" w:cs="Arial"/>
          <w:bCs/>
          <w:sz w:val="24"/>
          <w:szCs w:val="24"/>
        </w:rPr>
      </w:pPr>
      <w:r w:rsidRPr="00947531">
        <w:rPr>
          <w:rFonts w:ascii="Arial" w:hAnsi="Arial" w:cs="Arial"/>
          <w:bCs/>
          <w:sz w:val="24"/>
          <w:szCs w:val="24"/>
        </w:rPr>
        <w:t>M.</w:t>
      </w:r>
      <w:r>
        <w:rPr>
          <w:rFonts w:ascii="Arial" w:hAnsi="Arial" w:cs="Arial"/>
          <w:bCs/>
          <w:sz w:val="24"/>
          <w:szCs w:val="24"/>
        </w:rPr>
        <w:t> </w:t>
      </w:r>
      <w:r w:rsidRPr="00947531">
        <w:rPr>
          <w:rFonts w:ascii="Arial" w:hAnsi="Arial" w:cs="Arial"/>
          <w:bCs/>
          <w:sz w:val="24"/>
          <w:szCs w:val="24"/>
        </w:rPr>
        <w:t>Scavone pratique le droit des affaires et des services financiers au sein du groupe de Services financiers et est le coprésident de son comité de titrisation, de structuration et d</w:t>
      </w:r>
      <w:r>
        <w:rPr>
          <w:rFonts w:ascii="Arial" w:hAnsi="Arial" w:cs="Arial"/>
          <w:bCs/>
          <w:sz w:val="24"/>
          <w:szCs w:val="24"/>
        </w:rPr>
        <w:t>’</w:t>
      </w:r>
      <w:r w:rsidRPr="00947531">
        <w:rPr>
          <w:rFonts w:ascii="Arial" w:hAnsi="Arial" w:cs="Arial"/>
          <w:bCs/>
          <w:sz w:val="24"/>
          <w:szCs w:val="24"/>
        </w:rPr>
        <w:t>instruments dérivés. Il conseille les grandes entreprises, les institutions financières, les compagnies minières, les courtiers en valeurs mobilières et les organismes gouvernementaux sur les financements structurés, les instruments dérivés, la titrisation, le financement par emprunt garanti, le financement des infrastructures en PPP et le droit des sûretés mobilières, en plus des affaires commerciales générales. En tant que membre du comité d</w:t>
      </w:r>
      <w:r>
        <w:rPr>
          <w:rFonts w:ascii="Arial" w:hAnsi="Arial" w:cs="Arial"/>
          <w:bCs/>
          <w:sz w:val="24"/>
          <w:szCs w:val="24"/>
        </w:rPr>
        <w:t>’</w:t>
      </w:r>
      <w:r w:rsidRPr="00947531">
        <w:rPr>
          <w:rFonts w:ascii="Arial" w:hAnsi="Arial" w:cs="Arial"/>
          <w:bCs/>
          <w:sz w:val="24"/>
          <w:szCs w:val="24"/>
        </w:rPr>
        <w:t>avis du cabinet, il fournit des opinions sur des questions juridiques complexes et inédites.</w:t>
      </w:r>
      <w:r>
        <w:rPr>
          <w:rFonts w:ascii="Arial" w:hAnsi="Arial" w:cs="Arial"/>
          <w:bCs/>
          <w:sz w:val="24"/>
          <w:szCs w:val="24"/>
        </w:rPr>
        <w:t xml:space="preserve"> </w:t>
      </w:r>
      <w:r w:rsidRPr="00947531">
        <w:rPr>
          <w:rFonts w:ascii="Arial" w:hAnsi="Arial" w:cs="Arial"/>
          <w:bCs/>
          <w:sz w:val="24"/>
          <w:szCs w:val="24"/>
        </w:rPr>
        <w:t>M.</w:t>
      </w:r>
      <w:r>
        <w:rPr>
          <w:rFonts w:ascii="Arial" w:hAnsi="Arial" w:cs="Arial"/>
          <w:bCs/>
          <w:sz w:val="24"/>
          <w:szCs w:val="24"/>
        </w:rPr>
        <w:t> </w:t>
      </w:r>
      <w:r w:rsidRPr="00947531">
        <w:rPr>
          <w:rFonts w:ascii="Arial" w:hAnsi="Arial" w:cs="Arial"/>
          <w:bCs/>
          <w:sz w:val="24"/>
          <w:szCs w:val="24"/>
        </w:rPr>
        <w:t>Scavone a été un conseiller clé sur l</w:t>
      </w:r>
      <w:r>
        <w:rPr>
          <w:rFonts w:ascii="Arial" w:hAnsi="Arial" w:cs="Arial"/>
          <w:bCs/>
          <w:sz w:val="24"/>
          <w:szCs w:val="24"/>
        </w:rPr>
        <w:t>’</w:t>
      </w:r>
      <w:r w:rsidRPr="00947531">
        <w:rPr>
          <w:rFonts w:ascii="Arial" w:hAnsi="Arial" w:cs="Arial"/>
          <w:bCs/>
          <w:sz w:val="24"/>
          <w:szCs w:val="24"/>
        </w:rPr>
        <w:t xml:space="preserve">élaboration de la </w:t>
      </w:r>
      <w:r w:rsidRPr="0011697C">
        <w:rPr>
          <w:rFonts w:ascii="Arial" w:hAnsi="Arial" w:cs="Arial"/>
          <w:bCs/>
          <w:i/>
          <w:sz w:val="24"/>
          <w:szCs w:val="24"/>
        </w:rPr>
        <w:t>Loi de 2006 sur le transfert des valeurs mobilières</w:t>
      </w:r>
      <w:r w:rsidRPr="00947531">
        <w:rPr>
          <w:rFonts w:ascii="Arial" w:hAnsi="Arial" w:cs="Arial"/>
          <w:bCs/>
          <w:sz w:val="24"/>
          <w:szCs w:val="24"/>
        </w:rPr>
        <w:t xml:space="preserve"> de l</w:t>
      </w:r>
      <w:r>
        <w:rPr>
          <w:rFonts w:ascii="Arial" w:hAnsi="Arial" w:cs="Arial"/>
          <w:bCs/>
          <w:sz w:val="24"/>
          <w:szCs w:val="24"/>
        </w:rPr>
        <w:t>’</w:t>
      </w:r>
      <w:r w:rsidRPr="00947531">
        <w:rPr>
          <w:rFonts w:ascii="Arial" w:hAnsi="Arial" w:cs="Arial"/>
          <w:bCs/>
          <w:sz w:val="24"/>
          <w:szCs w:val="24"/>
        </w:rPr>
        <w:t xml:space="preserve">Ontario et est une autorité reconnue sur la réforme de la </w:t>
      </w:r>
      <w:r w:rsidRPr="0011697C">
        <w:rPr>
          <w:rFonts w:ascii="Arial" w:hAnsi="Arial" w:cs="Arial"/>
          <w:bCs/>
          <w:i/>
          <w:sz w:val="24"/>
          <w:szCs w:val="24"/>
        </w:rPr>
        <w:t>Loi des transferts de valeurs mobilières</w:t>
      </w:r>
      <w:r w:rsidRPr="00947531">
        <w:rPr>
          <w:rFonts w:ascii="Arial" w:hAnsi="Arial" w:cs="Arial"/>
          <w:bCs/>
          <w:sz w:val="24"/>
          <w:szCs w:val="24"/>
        </w:rPr>
        <w:t>. Il est également un membre actif du Comité du droit des sûretés mobilières de la section du droit commercial de l</w:t>
      </w:r>
      <w:r>
        <w:rPr>
          <w:rFonts w:ascii="Arial" w:hAnsi="Arial" w:cs="Arial"/>
          <w:bCs/>
          <w:sz w:val="24"/>
          <w:szCs w:val="24"/>
        </w:rPr>
        <w:t>’</w:t>
      </w:r>
      <w:r w:rsidRPr="00947531">
        <w:rPr>
          <w:rFonts w:ascii="Arial" w:hAnsi="Arial" w:cs="Arial"/>
          <w:bCs/>
          <w:sz w:val="24"/>
          <w:szCs w:val="24"/>
        </w:rPr>
        <w:t>Association du Barreau de l</w:t>
      </w:r>
      <w:r>
        <w:rPr>
          <w:rFonts w:ascii="Arial" w:hAnsi="Arial" w:cs="Arial"/>
          <w:bCs/>
          <w:sz w:val="24"/>
          <w:szCs w:val="24"/>
        </w:rPr>
        <w:t>’</w:t>
      </w:r>
      <w:r w:rsidRPr="00947531">
        <w:rPr>
          <w:rFonts w:ascii="Arial" w:hAnsi="Arial" w:cs="Arial"/>
          <w:bCs/>
          <w:sz w:val="24"/>
          <w:szCs w:val="24"/>
        </w:rPr>
        <w:t>Ontario. </w:t>
      </w:r>
    </w:p>
    <w:p w:rsidR="00BA3D23" w:rsidRPr="00273BA8" w:rsidRDefault="00BA3D23" w:rsidP="00BA3D23">
      <w:pPr>
        <w:rPr>
          <w:rFonts w:ascii="Arial" w:hAnsi="Arial" w:cs="Arial"/>
          <w:b/>
          <w:bCs/>
          <w:sz w:val="24"/>
          <w:szCs w:val="24"/>
        </w:rPr>
      </w:pPr>
      <w:r w:rsidRPr="00947531">
        <w:rPr>
          <w:rFonts w:ascii="Arial" w:hAnsi="Arial" w:cs="Arial"/>
          <w:bCs/>
          <w:sz w:val="24"/>
          <w:szCs w:val="24"/>
        </w:rPr>
        <w:br/>
      </w:r>
      <w:r w:rsidRPr="00273BA8">
        <w:rPr>
          <w:rFonts w:ascii="Arial" w:hAnsi="Arial" w:cs="Arial"/>
          <w:b/>
          <w:bCs/>
          <w:sz w:val="24"/>
          <w:szCs w:val="24"/>
        </w:rPr>
        <w:t>Peter</w:t>
      </w:r>
      <w:r>
        <w:rPr>
          <w:rFonts w:ascii="Arial" w:hAnsi="Arial" w:cs="Arial"/>
          <w:b/>
          <w:bCs/>
          <w:sz w:val="24"/>
          <w:szCs w:val="24"/>
        </w:rPr>
        <w:t> </w:t>
      </w:r>
      <w:r w:rsidRPr="00273BA8">
        <w:rPr>
          <w:rFonts w:ascii="Arial" w:hAnsi="Arial" w:cs="Arial"/>
          <w:b/>
          <w:bCs/>
          <w:sz w:val="24"/>
          <w:szCs w:val="24"/>
        </w:rPr>
        <w:t>Viitre (associé, Sotos LLP)</w:t>
      </w:r>
    </w:p>
    <w:p w:rsidR="00BA3D23" w:rsidRPr="00947531" w:rsidRDefault="00BA3D23" w:rsidP="00BA3D23">
      <w:pPr>
        <w:rPr>
          <w:rFonts w:ascii="Arial" w:hAnsi="Arial" w:cs="Arial"/>
          <w:sz w:val="24"/>
          <w:szCs w:val="24"/>
        </w:rPr>
      </w:pPr>
      <w:r w:rsidRPr="00947531">
        <w:rPr>
          <w:rFonts w:ascii="Arial" w:hAnsi="Arial" w:cs="Arial"/>
          <w:bCs/>
          <w:sz w:val="24"/>
          <w:szCs w:val="24"/>
        </w:rPr>
        <w:t>M.</w:t>
      </w:r>
      <w:r>
        <w:rPr>
          <w:rFonts w:ascii="Arial" w:hAnsi="Arial" w:cs="Arial"/>
          <w:bCs/>
          <w:sz w:val="24"/>
          <w:szCs w:val="24"/>
        </w:rPr>
        <w:t> </w:t>
      </w:r>
      <w:r w:rsidRPr="00947531">
        <w:rPr>
          <w:rFonts w:ascii="Arial" w:hAnsi="Arial" w:cs="Arial"/>
          <w:bCs/>
          <w:sz w:val="24"/>
          <w:szCs w:val="24"/>
        </w:rPr>
        <w:t>Viitre est un avocat en droit des sociétés et commercial, avec une expertise appréciable tant droit des franchises et en fusions et acquisitions. Depuis plus de 20</w:t>
      </w:r>
      <w:r>
        <w:rPr>
          <w:rFonts w:ascii="Arial" w:hAnsi="Arial" w:cs="Arial"/>
          <w:bCs/>
          <w:sz w:val="24"/>
          <w:szCs w:val="24"/>
        </w:rPr>
        <w:t> </w:t>
      </w:r>
      <w:r w:rsidRPr="00947531">
        <w:rPr>
          <w:rFonts w:ascii="Arial" w:hAnsi="Arial" w:cs="Arial"/>
          <w:bCs/>
          <w:sz w:val="24"/>
          <w:szCs w:val="24"/>
        </w:rPr>
        <w:t>ans, M.</w:t>
      </w:r>
      <w:r>
        <w:rPr>
          <w:rFonts w:ascii="Arial" w:hAnsi="Arial" w:cs="Arial"/>
          <w:bCs/>
          <w:sz w:val="24"/>
          <w:szCs w:val="24"/>
        </w:rPr>
        <w:t> </w:t>
      </w:r>
      <w:r w:rsidRPr="00947531">
        <w:rPr>
          <w:rFonts w:ascii="Arial" w:hAnsi="Arial" w:cs="Arial"/>
          <w:bCs/>
          <w:sz w:val="24"/>
          <w:szCs w:val="24"/>
        </w:rPr>
        <w:t>Viitre a conseillé des clients nationaux et internationaux sur les questions liées à l</w:t>
      </w:r>
      <w:r>
        <w:rPr>
          <w:rFonts w:ascii="Arial" w:hAnsi="Arial" w:cs="Arial"/>
          <w:bCs/>
          <w:sz w:val="24"/>
          <w:szCs w:val="24"/>
        </w:rPr>
        <w:t>’</w:t>
      </w:r>
      <w:r w:rsidRPr="00947531">
        <w:rPr>
          <w:rFonts w:ascii="Arial" w:hAnsi="Arial" w:cs="Arial"/>
          <w:bCs/>
          <w:sz w:val="24"/>
          <w:szCs w:val="24"/>
        </w:rPr>
        <w:t>expansion de leur entreprise par le biais du franchisage et d</w:t>
      </w:r>
      <w:r>
        <w:rPr>
          <w:rFonts w:ascii="Arial" w:hAnsi="Arial" w:cs="Arial"/>
          <w:bCs/>
          <w:sz w:val="24"/>
          <w:szCs w:val="24"/>
        </w:rPr>
        <w:t>’</w:t>
      </w:r>
      <w:r w:rsidRPr="00947531">
        <w:rPr>
          <w:rFonts w:ascii="Arial" w:hAnsi="Arial" w:cs="Arial"/>
          <w:bCs/>
          <w:sz w:val="24"/>
          <w:szCs w:val="24"/>
        </w:rPr>
        <w:t>autres moyens et sur l</w:t>
      </w:r>
      <w:r>
        <w:rPr>
          <w:rFonts w:ascii="Arial" w:hAnsi="Arial" w:cs="Arial"/>
          <w:bCs/>
          <w:sz w:val="24"/>
          <w:szCs w:val="24"/>
        </w:rPr>
        <w:t>’</w:t>
      </w:r>
      <w:r w:rsidRPr="00947531">
        <w:rPr>
          <w:rFonts w:ascii="Arial" w:hAnsi="Arial" w:cs="Arial"/>
          <w:bCs/>
          <w:sz w:val="24"/>
          <w:szCs w:val="24"/>
        </w:rPr>
        <w:t>achat et la vente d</w:t>
      </w:r>
      <w:r>
        <w:rPr>
          <w:rFonts w:ascii="Arial" w:hAnsi="Arial" w:cs="Arial"/>
          <w:bCs/>
          <w:sz w:val="24"/>
          <w:szCs w:val="24"/>
        </w:rPr>
        <w:t>’</w:t>
      </w:r>
      <w:r w:rsidRPr="00947531">
        <w:rPr>
          <w:rFonts w:ascii="Arial" w:hAnsi="Arial" w:cs="Arial"/>
          <w:bCs/>
          <w:sz w:val="24"/>
          <w:szCs w:val="24"/>
        </w:rPr>
        <w:t>entreprises œuvrant dans les domaines du franchisage, de la distribution, de la fabrication et des services financiers, entre autres. Il est le secrétaire de la section Droit des franchises de l</w:t>
      </w:r>
      <w:r>
        <w:rPr>
          <w:rFonts w:ascii="Arial" w:hAnsi="Arial" w:cs="Arial"/>
          <w:bCs/>
          <w:sz w:val="24"/>
          <w:szCs w:val="24"/>
        </w:rPr>
        <w:t>’</w:t>
      </w:r>
      <w:r w:rsidRPr="00947531">
        <w:rPr>
          <w:rFonts w:ascii="Arial" w:hAnsi="Arial" w:cs="Arial"/>
          <w:bCs/>
          <w:sz w:val="24"/>
          <w:szCs w:val="24"/>
        </w:rPr>
        <w:t>Association du Barreau de l</w:t>
      </w:r>
      <w:r>
        <w:rPr>
          <w:rFonts w:ascii="Arial" w:hAnsi="Arial" w:cs="Arial"/>
          <w:bCs/>
          <w:sz w:val="24"/>
          <w:szCs w:val="24"/>
        </w:rPr>
        <w:t>’</w:t>
      </w:r>
      <w:r w:rsidRPr="00947531">
        <w:rPr>
          <w:rFonts w:ascii="Arial" w:hAnsi="Arial" w:cs="Arial"/>
          <w:bCs/>
          <w:sz w:val="24"/>
          <w:szCs w:val="24"/>
        </w:rPr>
        <w:t>Ontario et membre du comité juridique/législatif de l</w:t>
      </w:r>
      <w:r>
        <w:rPr>
          <w:rFonts w:ascii="Arial" w:hAnsi="Arial" w:cs="Arial"/>
          <w:bCs/>
          <w:sz w:val="24"/>
          <w:szCs w:val="24"/>
        </w:rPr>
        <w:t>’</w:t>
      </w:r>
      <w:r w:rsidRPr="00947531">
        <w:rPr>
          <w:rFonts w:ascii="Arial" w:hAnsi="Arial" w:cs="Arial"/>
          <w:bCs/>
          <w:sz w:val="24"/>
          <w:szCs w:val="24"/>
        </w:rPr>
        <w:t>International Franchise Association</w:t>
      </w:r>
      <w:r>
        <w:rPr>
          <w:rFonts w:ascii="Arial" w:hAnsi="Arial" w:cs="Arial"/>
          <w:bCs/>
          <w:sz w:val="24"/>
          <w:szCs w:val="24"/>
        </w:rPr>
        <w:t xml:space="preserve">. </w:t>
      </w:r>
      <w:r w:rsidRPr="00947531">
        <w:rPr>
          <w:rFonts w:ascii="Arial" w:hAnsi="Arial" w:cs="Arial"/>
          <w:bCs/>
          <w:sz w:val="24"/>
          <w:szCs w:val="24"/>
        </w:rPr>
        <w:t>Il est également actif dans le Forum de l</w:t>
      </w:r>
      <w:r>
        <w:rPr>
          <w:rFonts w:ascii="Arial" w:hAnsi="Arial" w:cs="Arial"/>
          <w:bCs/>
          <w:sz w:val="24"/>
          <w:szCs w:val="24"/>
        </w:rPr>
        <w:t>’</w:t>
      </w:r>
      <w:r w:rsidRPr="00947531">
        <w:rPr>
          <w:rFonts w:ascii="Arial" w:hAnsi="Arial" w:cs="Arial"/>
          <w:bCs/>
          <w:sz w:val="24"/>
          <w:szCs w:val="24"/>
        </w:rPr>
        <w:t>ABA sur le franchisage et l</w:t>
      </w:r>
      <w:r>
        <w:rPr>
          <w:rFonts w:ascii="Arial" w:hAnsi="Arial" w:cs="Arial"/>
          <w:bCs/>
          <w:sz w:val="24"/>
          <w:szCs w:val="24"/>
        </w:rPr>
        <w:t>’</w:t>
      </w:r>
      <w:r w:rsidRPr="00947531">
        <w:rPr>
          <w:rFonts w:ascii="Arial" w:hAnsi="Arial" w:cs="Arial"/>
          <w:bCs/>
          <w:sz w:val="24"/>
          <w:szCs w:val="24"/>
        </w:rPr>
        <w:t>Association canadienne de la franchise. M.</w:t>
      </w:r>
      <w:r>
        <w:rPr>
          <w:rFonts w:ascii="Arial" w:hAnsi="Arial" w:cs="Arial"/>
          <w:bCs/>
          <w:sz w:val="24"/>
          <w:szCs w:val="24"/>
        </w:rPr>
        <w:t> </w:t>
      </w:r>
      <w:r w:rsidRPr="00947531">
        <w:rPr>
          <w:rFonts w:ascii="Arial" w:hAnsi="Arial" w:cs="Arial"/>
          <w:bCs/>
          <w:sz w:val="24"/>
          <w:szCs w:val="24"/>
        </w:rPr>
        <w:t>Viitre a récemment été reconnu comme Best Lawyers®</w:t>
      </w:r>
      <w:r>
        <w:rPr>
          <w:rFonts w:ascii="Arial" w:hAnsi="Arial" w:cs="Arial"/>
          <w:bCs/>
          <w:sz w:val="24"/>
          <w:szCs w:val="24"/>
        </w:rPr>
        <w:t> </w:t>
      </w:r>
      <w:r w:rsidRPr="00947531">
        <w:rPr>
          <w:rFonts w:ascii="Arial" w:hAnsi="Arial" w:cs="Arial"/>
          <w:bCs/>
          <w:sz w:val="24"/>
          <w:szCs w:val="24"/>
        </w:rPr>
        <w:t>2015 Franchise Lawyer of the Year pour Toronto et est classé dans Chambers Canada, Lexpert et le International Who</w:t>
      </w:r>
      <w:r>
        <w:rPr>
          <w:rFonts w:ascii="Arial" w:hAnsi="Arial" w:cs="Arial"/>
          <w:bCs/>
          <w:sz w:val="24"/>
          <w:szCs w:val="24"/>
        </w:rPr>
        <w:t>’</w:t>
      </w:r>
      <w:r w:rsidRPr="00947531">
        <w:rPr>
          <w:rFonts w:ascii="Arial" w:hAnsi="Arial" w:cs="Arial"/>
          <w:bCs/>
          <w:sz w:val="24"/>
          <w:szCs w:val="24"/>
        </w:rPr>
        <w:t>s Who of Franchise Lawyers</w:t>
      </w:r>
      <w:r>
        <w:rPr>
          <w:rFonts w:ascii="Arial" w:hAnsi="Arial" w:cs="Arial"/>
          <w:bCs/>
          <w:sz w:val="24"/>
          <w:szCs w:val="24"/>
        </w:rPr>
        <w:t> </w:t>
      </w:r>
      <w:r w:rsidRPr="00947531">
        <w:rPr>
          <w:rFonts w:ascii="Arial" w:hAnsi="Arial" w:cs="Arial"/>
          <w:bCs/>
          <w:sz w:val="24"/>
          <w:szCs w:val="24"/>
        </w:rPr>
        <w:t>2015 comme un des meilleurs avocats en droit des franchises. </w:t>
      </w:r>
    </w:p>
    <w:p w:rsidR="00047FAE" w:rsidRDefault="00047FAE">
      <w:pPr>
        <w:jc w:val="both"/>
        <w:sectPr w:rsidR="00047FAE">
          <w:headerReference w:type="default" r:id="rId12"/>
          <w:pgSz w:w="12240" w:h="15840"/>
          <w:pgMar w:top="980" w:right="1320" w:bottom="920" w:left="1340" w:header="743" w:footer="731" w:gutter="0"/>
          <w:cols w:space="720"/>
        </w:sectPr>
      </w:pPr>
    </w:p>
    <w:p w:rsidR="00047FAE" w:rsidRDefault="00CF1269" w:rsidP="00CF1269">
      <w:pPr>
        <w:spacing w:before="75"/>
        <w:ind w:left="3405" w:right="3363" w:firstLine="614"/>
        <w:rPr>
          <w:rFonts w:ascii="Arial" w:eastAsia="Arial" w:hAnsi="Arial" w:cs="Arial"/>
          <w:sz w:val="24"/>
          <w:szCs w:val="24"/>
        </w:rPr>
      </w:pPr>
      <w:bookmarkStart w:id="71" w:name="Schedule_B_Terms_of_Reference"/>
      <w:bookmarkStart w:id="72" w:name="_bookmark9"/>
      <w:bookmarkEnd w:id="71"/>
      <w:bookmarkEnd w:id="72"/>
      <w:r>
        <w:rPr>
          <w:rFonts w:ascii="Arial" w:eastAsia="Arial" w:hAnsi="Arial" w:cs="Arial"/>
          <w:b/>
          <w:bCs/>
          <w:sz w:val="24"/>
          <w:szCs w:val="24"/>
        </w:rPr>
        <w:lastRenderedPageBreak/>
        <w:t xml:space="preserve">ANNEXE </w:t>
      </w:r>
      <w:r w:rsidR="007309FF">
        <w:rPr>
          <w:rFonts w:ascii="Arial" w:eastAsia="Arial" w:hAnsi="Arial" w:cs="Arial"/>
          <w:b/>
          <w:bCs/>
          <w:sz w:val="24"/>
          <w:szCs w:val="24"/>
        </w:rPr>
        <w:t xml:space="preserve">B </w:t>
      </w:r>
      <w:r>
        <w:rPr>
          <w:rFonts w:ascii="Arial" w:eastAsia="Arial" w:hAnsi="Arial" w:cs="Arial"/>
          <w:b/>
          <w:bCs/>
          <w:sz w:val="24"/>
          <w:szCs w:val="24"/>
        </w:rPr>
        <w:br/>
        <w:t>CADRE DE RÉFÉ</w:t>
      </w:r>
      <w:r w:rsidR="007309FF">
        <w:rPr>
          <w:rFonts w:ascii="Arial" w:eastAsia="Arial" w:hAnsi="Arial" w:cs="Arial"/>
          <w:b/>
          <w:bCs/>
          <w:spacing w:val="-1"/>
          <w:sz w:val="24"/>
          <w:szCs w:val="24"/>
        </w:rPr>
        <w:t>R</w:t>
      </w:r>
      <w:r w:rsidR="007309FF">
        <w:rPr>
          <w:rFonts w:ascii="Arial" w:eastAsia="Arial" w:hAnsi="Arial" w:cs="Arial"/>
          <w:b/>
          <w:bCs/>
          <w:sz w:val="24"/>
          <w:szCs w:val="24"/>
        </w:rPr>
        <w:t>E</w:t>
      </w:r>
      <w:r w:rsidR="007309FF">
        <w:rPr>
          <w:rFonts w:ascii="Arial" w:eastAsia="Arial" w:hAnsi="Arial" w:cs="Arial"/>
          <w:b/>
          <w:bCs/>
          <w:spacing w:val="-3"/>
          <w:sz w:val="24"/>
          <w:szCs w:val="24"/>
        </w:rPr>
        <w:t>N</w:t>
      </w:r>
      <w:r w:rsidR="007309FF">
        <w:rPr>
          <w:rFonts w:ascii="Arial" w:eastAsia="Arial" w:hAnsi="Arial" w:cs="Arial"/>
          <w:b/>
          <w:bCs/>
          <w:spacing w:val="-1"/>
          <w:sz w:val="24"/>
          <w:szCs w:val="24"/>
        </w:rPr>
        <w:t>C</w:t>
      </w:r>
      <w:r w:rsidR="007309FF">
        <w:rPr>
          <w:rFonts w:ascii="Arial" w:eastAsia="Arial" w:hAnsi="Arial" w:cs="Arial"/>
          <w:b/>
          <w:bCs/>
          <w:sz w:val="24"/>
          <w:szCs w:val="24"/>
        </w:rPr>
        <w:t>E</w:t>
      </w:r>
    </w:p>
    <w:p w:rsidR="00047FAE" w:rsidRDefault="00047FAE">
      <w:pPr>
        <w:spacing w:before="1" w:line="170" w:lineRule="exact"/>
        <w:rPr>
          <w:sz w:val="17"/>
          <w:szCs w:val="17"/>
        </w:rPr>
      </w:pPr>
    </w:p>
    <w:p w:rsidR="00CF1269" w:rsidRPr="00CF1269" w:rsidRDefault="00CF1269" w:rsidP="00CF1269">
      <w:pPr>
        <w:keepNext/>
        <w:keepLines/>
        <w:widowControl/>
        <w:spacing w:before="480" w:line="276" w:lineRule="auto"/>
        <w:outlineLvl w:val="0"/>
        <w:rPr>
          <w:rFonts w:ascii="Arial" w:eastAsia="Calibri" w:hAnsi="Arial" w:cs="Arial"/>
          <w:b/>
          <w:bCs/>
          <w:sz w:val="28"/>
          <w:szCs w:val="28"/>
        </w:rPr>
      </w:pPr>
      <w:bookmarkStart w:id="73" w:name="1._Preamble"/>
      <w:bookmarkEnd w:id="73"/>
      <w:r w:rsidRPr="00CF1269">
        <w:rPr>
          <w:rFonts w:ascii="Arial" w:eastAsia="Calibri" w:hAnsi="Arial" w:cs="Arial"/>
          <w:b/>
          <w:bCs/>
          <w:sz w:val="28"/>
          <w:szCs w:val="28"/>
        </w:rPr>
        <w:t>1.0 Préambule</w:t>
      </w:r>
    </w:p>
    <w:p w:rsidR="00CF1269" w:rsidRPr="00CF1269" w:rsidRDefault="00CF1269" w:rsidP="00CF1269">
      <w:pPr>
        <w:widowControl/>
        <w:contextualSpacing/>
        <w:rPr>
          <w:rFonts w:ascii="Arial" w:eastAsia="Calibri" w:hAnsi="Arial" w:cs="Arial"/>
          <w:b/>
        </w:rPr>
      </w:pPr>
    </w:p>
    <w:p w:rsidR="00CF1269" w:rsidRPr="00CF1269" w:rsidRDefault="00CF1269" w:rsidP="00CF1269">
      <w:pPr>
        <w:widowControl/>
        <w:spacing w:after="200" w:line="276" w:lineRule="auto"/>
        <w:rPr>
          <w:rFonts w:ascii="Arial" w:eastAsia="Calibri" w:hAnsi="Arial" w:cs="Arial"/>
          <w:sz w:val="24"/>
          <w:szCs w:val="24"/>
        </w:rPr>
      </w:pPr>
      <w:r w:rsidRPr="00CF1269">
        <w:rPr>
          <w:rFonts w:ascii="Arial" w:eastAsia="Calibri" w:hAnsi="Arial" w:cs="Arial"/>
          <w:sz w:val="24"/>
          <w:szCs w:val="24"/>
        </w:rPr>
        <w:t>L’actualisation régulière des lois de l’Ontario portant sur les sociétés et le commerce appuie la mise en application d’un cadre réglementaire souple, ce qui contribue à maintenir un climat d’affaires dynamique, favorise une prospérité accrue, renforce l’avantage concurrentiel de l’Ontario dans une économie mondiale et fait de l’Ontario la compétence prééminente en matière de droit des affaires.</w:t>
      </w:r>
    </w:p>
    <w:p w:rsidR="00CF1269" w:rsidRPr="00CF1269" w:rsidRDefault="00CF1269" w:rsidP="00CF1269">
      <w:pPr>
        <w:widowControl/>
        <w:spacing w:after="200" w:line="276" w:lineRule="auto"/>
        <w:rPr>
          <w:rFonts w:ascii="Arial" w:eastAsia="Calibri" w:hAnsi="Arial" w:cs="Arial"/>
          <w:sz w:val="24"/>
          <w:szCs w:val="24"/>
        </w:rPr>
      </w:pPr>
      <w:r w:rsidRPr="00CF1269">
        <w:rPr>
          <w:rFonts w:ascii="Arial" w:eastAsia="Calibri" w:hAnsi="Arial" w:cs="Arial"/>
          <w:sz w:val="24"/>
          <w:szCs w:val="24"/>
        </w:rPr>
        <w:t>Le gouvernement reconnaît la valeur des efforts déployés par les professionnels du droit de la fonction publique pour formuler des recommandations au sujet des réformes envisagées à la législation relative aux sociétés et au commerce.</w:t>
      </w:r>
    </w:p>
    <w:p w:rsidR="00CF1269" w:rsidRPr="00CF1269" w:rsidRDefault="00CF1269" w:rsidP="00CF1269">
      <w:pPr>
        <w:widowControl/>
        <w:spacing w:after="200" w:line="276" w:lineRule="auto"/>
        <w:rPr>
          <w:rFonts w:ascii="Arial" w:eastAsia="Calibri" w:hAnsi="Arial" w:cs="Arial"/>
          <w:sz w:val="24"/>
          <w:szCs w:val="24"/>
        </w:rPr>
      </w:pPr>
      <w:r w:rsidRPr="00CF1269">
        <w:rPr>
          <w:rFonts w:ascii="Arial" w:eastAsia="Calibri" w:hAnsi="Arial" w:cs="Arial"/>
          <w:sz w:val="24"/>
          <w:szCs w:val="24"/>
        </w:rPr>
        <w:t>Le gouvernement reconnaît la nécessité que les experts gouvernementaux et non gouvernementaux travaillent en étroite collaboration à la formulation d’avis au sujet des réformes du droit des affaires.</w:t>
      </w:r>
    </w:p>
    <w:p w:rsidR="00CF1269" w:rsidRPr="00CF1269" w:rsidRDefault="00CF1269" w:rsidP="00CF1269">
      <w:pPr>
        <w:widowControl/>
        <w:spacing w:after="200" w:line="276" w:lineRule="auto"/>
        <w:rPr>
          <w:rFonts w:ascii="Arial" w:eastAsia="Calibri" w:hAnsi="Arial" w:cs="Arial"/>
          <w:sz w:val="24"/>
          <w:szCs w:val="24"/>
        </w:rPr>
      </w:pPr>
      <w:r w:rsidRPr="00CF1269">
        <w:rPr>
          <w:rFonts w:ascii="Arial" w:eastAsia="Calibri" w:hAnsi="Arial" w:cs="Arial"/>
          <w:sz w:val="24"/>
          <w:szCs w:val="24"/>
        </w:rPr>
        <w:t>Il est résolu que le Conseil consultatif en matière de droit des affaires (conseil consultatif) soit établi selon le cadre de référence suivant :</w:t>
      </w:r>
    </w:p>
    <w:p w:rsidR="00CF1269" w:rsidRPr="00CF1269" w:rsidRDefault="00CF1269" w:rsidP="00CF1269">
      <w:pPr>
        <w:keepNext/>
        <w:keepLines/>
        <w:widowControl/>
        <w:spacing w:before="480" w:line="276" w:lineRule="auto"/>
        <w:outlineLvl w:val="0"/>
        <w:rPr>
          <w:rFonts w:ascii="Arial" w:eastAsia="Times New Roman" w:hAnsi="Arial" w:cs="Arial"/>
          <w:b/>
          <w:bCs/>
          <w:sz w:val="28"/>
          <w:szCs w:val="28"/>
        </w:rPr>
      </w:pPr>
      <w:r w:rsidRPr="00CF1269">
        <w:rPr>
          <w:rFonts w:ascii="Arial" w:eastAsia="Times New Roman" w:hAnsi="Arial" w:cs="Arial"/>
          <w:b/>
          <w:bCs/>
          <w:sz w:val="28"/>
          <w:szCs w:val="28"/>
        </w:rPr>
        <w:t>2.0 Contexte du conseil consultatif</w:t>
      </w:r>
    </w:p>
    <w:p w:rsidR="00CF1269" w:rsidRPr="00CF1269" w:rsidRDefault="00CF1269" w:rsidP="00CF1269">
      <w:pPr>
        <w:widowControl/>
        <w:rPr>
          <w:rFonts w:ascii="Arial" w:eastAsia="Calibri" w:hAnsi="Arial" w:cs="Arial"/>
        </w:rPr>
      </w:pPr>
    </w:p>
    <w:p w:rsidR="00CF1269" w:rsidRPr="00CF1269" w:rsidRDefault="00CF1269" w:rsidP="00CF1269">
      <w:pPr>
        <w:widowControl/>
        <w:spacing w:after="200" w:line="276" w:lineRule="auto"/>
        <w:rPr>
          <w:rFonts w:ascii="Arial" w:eastAsia="Calibri" w:hAnsi="Arial" w:cs="Arial"/>
          <w:sz w:val="24"/>
          <w:szCs w:val="24"/>
        </w:rPr>
      </w:pPr>
      <w:r w:rsidRPr="00CF1269">
        <w:rPr>
          <w:rFonts w:ascii="Arial" w:eastAsia="Calibri" w:hAnsi="Arial" w:cs="Arial"/>
          <w:sz w:val="24"/>
          <w:szCs w:val="24"/>
        </w:rPr>
        <w:t>Le budget de 2015 et la lettre de mandat de 2014 du ministre des Services gouvernementaux et des Services aux consommateurs engagent le gouvernement à entreprendre un vaste examen des lois de la province visant les sociétés et les activités commerciales de la province pour s’assurer que l’Ontario dispose de lois modernes qui favorisent l’efficacité du marché et créent un climat d’affaires axé sur la prospérité.</w:t>
      </w:r>
    </w:p>
    <w:p w:rsidR="00CF1269" w:rsidRPr="00CF1269" w:rsidRDefault="00CF1269" w:rsidP="00CF1269">
      <w:pPr>
        <w:widowControl/>
        <w:spacing w:after="200" w:line="276" w:lineRule="auto"/>
        <w:rPr>
          <w:rFonts w:ascii="Arial" w:eastAsia="Calibri" w:hAnsi="Arial" w:cs="Arial"/>
          <w:sz w:val="24"/>
          <w:szCs w:val="24"/>
        </w:rPr>
      </w:pPr>
      <w:r w:rsidRPr="00CF1269">
        <w:rPr>
          <w:rFonts w:ascii="Arial" w:eastAsia="Calibri" w:hAnsi="Arial" w:cs="Arial"/>
          <w:sz w:val="24"/>
          <w:szCs w:val="24"/>
        </w:rPr>
        <w:t>Dans le cadre de cet engagement, le ministère des Services gouvernementaux et des Services aux consommateurs (MSGSC) a formé un groupe de travail composé d’intervenants en droit des affaires. Le groupe a été chargé d’examiner les lois portant sur les sociétés et le commerce qui relèvent principalement du MSGSC et de conseiller le gouvernement au sujet des priorités à l’égard de la réforme des lois.</w:t>
      </w:r>
    </w:p>
    <w:p w:rsidR="00CF1269" w:rsidRPr="00CF1269" w:rsidRDefault="00CF1269" w:rsidP="00CF1269">
      <w:pPr>
        <w:widowControl/>
        <w:spacing w:after="200" w:line="276" w:lineRule="auto"/>
        <w:rPr>
          <w:rFonts w:ascii="Arial" w:eastAsia="Calibri" w:hAnsi="Arial" w:cs="Arial"/>
          <w:sz w:val="24"/>
          <w:szCs w:val="24"/>
        </w:rPr>
      </w:pPr>
      <w:r w:rsidRPr="00CF1269">
        <w:rPr>
          <w:rFonts w:ascii="Arial" w:eastAsia="Calibri" w:hAnsi="Arial" w:cs="Arial"/>
          <w:sz w:val="24"/>
          <w:szCs w:val="24"/>
        </w:rPr>
        <w:t>Le rapport du groupe de travail présenté le 5 juin 2015 contenait les recommandations suivantes :</w:t>
      </w:r>
    </w:p>
    <w:p w:rsidR="00CF1269" w:rsidRPr="00CF1269" w:rsidRDefault="00CF1269" w:rsidP="00CF1269">
      <w:pPr>
        <w:widowControl/>
        <w:numPr>
          <w:ilvl w:val="0"/>
          <w:numId w:val="35"/>
        </w:numPr>
        <w:spacing w:after="200" w:line="276" w:lineRule="auto"/>
        <w:contextualSpacing/>
        <w:rPr>
          <w:rFonts w:ascii="Arial" w:eastAsia="Times New Roman" w:hAnsi="Arial" w:cs="Arial"/>
          <w:sz w:val="24"/>
          <w:szCs w:val="24"/>
        </w:rPr>
      </w:pPr>
      <w:r w:rsidRPr="00CF1269">
        <w:rPr>
          <w:rFonts w:ascii="Arial" w:eastAsia="Times New Roman" w:hAnsi="Arial" w:cs="Arial"/>
          <w:sz w:val="24"/>
          <w:szCs w:val="24"/>
        </w:rPr>
        <w:t>Établir un processus officiel régulier visant à promouvoir la réalisation continue d’examens et de mises à jour des lois portant sur les sociétés et le commerce.</w:t>
      </w:r>
    </w:p>
    <w:p w:rsidR="00CF1269" w:rsidRPr="00CF1269" w:rsidRDefault="00CF1269" w:rsidP="00CF1269">
      <w:pPr>
        <w:widowControl/>
        <w:ind w:left="720"/>
        <w:contextualSpacing/>
        <w:rPr>
          <w:rFonts w:ascii="Arial" w:eastAsia="Times New Roman" w:hAnsi="Arial" w:cs="Arial"/>
          <w:sz w:val="24"/>
          <w:szCs w:val="24"/>
        </w:rPr>
      </w:pPr>
    </w:p>
    <w:p w:rsidR="00CF1269" w:rsidRPr="00CF1269" w:rsidRDefault="00CF1269" w:rsidP="00CF1269">
      <w:pPr>
        <w:widowControl/>
        <w:numPr>
          <w:ilvl w:val="0"/>
          <w:numId w:val="35"/>
        </w:numPr>
        <w:spacing w:after="200" w:line="276" w:lineRule="auto"/>
        <w:contextualSpacing/>
        <w:rPr>
          <w:rFonts w:ascii="Arial" w:eastAsia="Times New Roman" w:hAnsi="Arial" w:cs="Arial"/>
          <w:sz w:val="24"/>
          <w:szCs w:val="24"/>
        </w:rPr>
      </w:pPr>
      <w:r w:rsidRPr="00CF1269">
        <w:rPr>
          <w:rFonts w:ascii="Arial" w:eastAsia="Times New Roman" w:hAnsi="Arial" w:cs="Arial"/>
          <w:sz w:val="24"/>
          <w:szCs w:val="24"/>
        </w:rPr>
        <w:lastRenderedPageBreak/>
        <w:t>Le processus devrait tirer parti des commentaires et des opinions formulés par les experts qui connaissent bien les régimes législatifs pertinents, et soutenir la collaboration entre les experts gouvernementaux et non gouvernementaux.</w:t>
      </w:r>
    </w:p>
    <w:p w:rsidR="00CF1269" w:rsidRPr="00CF1269" w:rsidRDefault="00CF1269" w:rsidP="00CF1269">
      <w:pPr>
        <w:widowControl/>
        <w:ind w:left="720"/>
        <w:contextualSpacing/>
        <w:rPr>
          <w:rFonts w:ascii="Arial" w:eastAsia="Times New Roman" w:hAnsi="Arial" w:cs="Arial"/>
          <w:sz w:val="24"/>
          <w:szCs w:val="24"/>
        </w:rPr>
      </w:pPr>
    </w:p>
    <w:p w:rsidR="00CF1269" w:rsidRPr="00CF1269" w:rsidRDefault="00CF1269" w:rsidP="00CF1269">
      <w:pPr>
        <w:widowControl/>
        <w:numPr>
          <w:ilvl w:val="0"/>
          <w:numId w:val="35"/>
        </w:numPr>
        <w:spacing w:after="200" w:line="276" w:lineRule="auto"/>
        <w:contextualSpacing/>
        <w:rPr>
          <w:rFonts w:ascii="Arial" w:eastAsia="Times New Roman" w:hAnsi="Arial" w:cs="Arial"/>
          <w:sz w:val="24"/>
          <w:szCs w:val="24"/>
        </w:rPr>
      </w:pPr>
      <w:r w:rsidRPr="00CF1269">
        <w:rPr>
          <w:rFonts w:ascii="Arial" w:eastAsia="Times New Roman" w:hAnsi="Arial" w:cs="Arial"/>
          <w:sz w:val="24"/>
          <w:szCs w:val="24"/>
        </w:rPr>
        <w:t>Le processus devrait permettre de formuler de façon continue des recommandations fondées sur des données probantes afin d’établir un cadre de droit des affaires réactif et efficace.</w:t>
      </w:r>
    </w:p>
    <w:p w:rsidR="00CF1269" w:rsidRPr="00CF1269" w:rsidRDefault="00CF1269" w:rsidP="00CF1269">
      <w:pPr>
        <w:widowControl/>
        <w:spacing w:after="200" w:line="276" w:lineRule="auto"/>
        <w:rPr>
          <w:rFonts w:ascii="Arial" w:eastAsia="Calibri" w:hAnsi="Arial" w:cs="Arial"/>
          <w:sz w:val="24"/>
          <w:szCs w:val="24"/>
        </w:rPr>
      </w:pPr>
    </w:p>
    <w:p w:rsidR="00CF1269" w:rsidRPr="00CF1269" w:rsidRDefault="00CF1269" w:rsidP="00CF1269">
      <w:pPr>
        <w:widowControl/>
        <w:spacing w:after="200" w:line="276" w:lineRule="auto"/>
        <w:rPr>
          <w:rFonts w:ascii="Arial" w:eastAsia="Calibri" w:hAnsi="Arial" w:cs="Arial"/>
          <w:sz w:val="24"/>
          <w:szCs w:val="24"/>
        </w:rPr>
      </w:pPr>
      <w:r w:rsidRPr="00CF1269">
        <w:rPr>
          <w:rFonts w:ascii="Arial" w:eastAsia="Calibri" w:hAnsi="Arial" w:cs="Arial"/>
          <w:sz w:val="24"/>
          <w:szCs w:val="24"/>
        </w:rPr>
        <w:t>Le gouvernement est déterminé à ce que l’Ontario redevienne la compétence prééminente en matière de droit des affaires. Dans cette perspective, le gouvernement met actuellement sur pied un conseil consultatif pour un mandat d’une durée maximale de trois ans. Le conseil sera chargé de formuler des avis et des recommandations au sujet des réformes envisagées du droit des affaires.</w:t>
      </w:r>
    </w:p>
    <w:p w:rsidR="00CF1269" w:rsidRPr="00CF1269" w:rsidRDefault="00CF1269" w:rsidP="00CF1269">
      <w:pPr>
        <w:widowControl/>
        <w:spacing w:after="200" w:line="276" w:lineRule="auto"/>
        <w:rPr>
          <w:rFonts w:ascii="Arial" w:eastAsia="Calibri" w:hAnsi="Arial" w:cs="Arial"/>
          <w:sz w:val="24"/>
          <w:szCs w:val="24"/>
        </w:rPr>
      </w:pPr>
      <w:r w:rsidRPr="00CF1269">
        <w:rPr>
          <w:rFonts w:ascii="Arial" w:eastAsia="Calibri" w:hAnsi="Arial" w:cs="Arial"/>
          <w:sz w:val="24"/>
          <w:szCs w:val="24"/>
        </w:rPr>
        <w:t xml:space="preserve">Conformément aux principes de transparence du gouvernement, les travaux du conseil consultatif soutiendront la collaboration entre les experts gouvernementaux et non gouvernementaux dans l’examen de la </w:t>
      </w:r>
      <w:r w:rsidRPr="00CF1269">
        <w:rPr>
          <w:rFonts w:ascii="Arial" w:eastAsia="Calibri" w:hAnsi="Arial" w:cs="Arial"/>
          <w:i/>
          <w:sz w:val="24"/>
          <w:szCs w:val="24"/>
        </w:rPr>
        <w:t>Loi sur les sociétés par actions</w:t>
      </w:r>
      <w:r w:rsidRPr="00CF1269">
        <w:rPr>
          <w:rFonts w:ascii="Arial" w:eastAsia="Calibri" w:hAnsi="Arial" w:cs="Arial"/>
          <w:sz w:val="24"/>
          <w:szCs w:val="24"/>
        </w:rPr>
        <w:t xml:space="preserve"> (LSA) et d’autres lois relatives aux sociétés et au commerce qui relèvent du ministère des Services gouvernementaux et des Services aux consommateurs, du ministère du Procureur général et du ministère des Finances.</w:t>
      </w:r>
    </w:p>
    <w:p w:rsidR="00CF1269" w:rsidRPr="00CF1269" w:rsidRDefault="00CF1269" w:rsidP="00CF1269">
      <w:pPr>
        <w:widowControl/>
        <w:spacing w:after="200" w:line="276" w:lineRule="auto"/>
        <w:rPr>
          <w:rFonts w:ascii="Arial" w:eastAsia="Calibri" w:hAnsi="Arial" w:cs="Arial"/>
          <w:sz w:val="24"/>
          <w:szCs w:val="24"/>
        </w:rPr>
      </w:pPr>
      <w:r w:rsidRPr="00CF1269">
        <w:rPr>
          <w:rFonts w:ascii="Arial" w:eastAsia="Calibri" w:hAnsi="Arial" w:cs="Arial"/>
          <w:sz w:val="24"/>
          <w:szCs w:val="24"/>
        </w:rPr>
        <w:t>Le conseil consultatif fera rapport à un comité du sous-ministre adjoint représentant le MSGSC, le ministère du Procureur général et le ministère des Finances.</w:t>
      </w:r>
    </w:p>
    <w:p w:rsidR="00CF1269" w:rsidRPr="00CF1269" w:rsidRDefault="00CF1269" w:rsidP="00CF1269">
      <w:pPr>
        <w:widowControl/>
        <w:spacing w:after="200" w:line="276" w:lineRule="auto"/>
        <w:rPr>
          <w:rFonts w:ascii="Arial" w:eastAsia="Calibri" w:hAnsi="Arial" w:cs="Arial"/>
          <w:sz w:val="24"/>
          <w:szCs w:val="24"/>
        </w:rPr>
      </w:pPr>
      <w:r w:rsidRPr="00CF1269">
        <w:rPr>
          <w:rFonts w:ascii="Arial" w:eastAsia="Calibri" w:hAnsi="Arial" w:cs="Arial"/>
          <w:sz w:val="24"/>
          <w:szCs w:val="24"/>
        </w:rPr>
        <w:t>Le comité du sous-ministre adjoint supervisera un processus de consultation officiel entourant les recommandations formulées par ce conseil, et proposera des recommandations finales aux décideurs.</w:t>
      </w:r>
    </w:p>
    <w:p w:rsidR="00CF1269" w:rsidRPr="00CF1269" w:rsidRDefault="00CF1269" w:rsidP="00CF1269">
      <w:pPr>
        <w:keepNext/>
        <w:keepLines/>
        <w:widowControl/>
        <w:spacing w:before="480" w:line="276" w:lineRule="auto"/>
        <w:outlineLvl w:val="0"/>
        <w:rPr>
          <w:rFonts w:ascii="Arial" w:eastAsia="Times New Roman" w:hAnsi="Arial" w:cs="Arial"/>
          <w:b/>
          <w:bCs/>
          <w:sz w:val="28"/>
          <w:szCs w:val="28"/>
        </w:rPr>
      </w:pPr>
      <w:r w:rsidRPr="00CF1269">
        <w:rPr>
          <w:rFonts w:ascii="Arial" w:eastAsia="Times New Roman" w:hAnsi="Arial" w:cs="Arial"/>
          <w:b/>
          <w:bCs/>
          <w:sz w:val="28"/>
          <w:szCs w:val="28"/>
        </w:rPr>
        <w:t>3.0 Mandat</w:t>
      </w:r>
    </w:p>
    <w:p w:rsidR="00CF1269" w:rsidRPr="00CF1269" w:rsidRDefault="00CF1269" w:rsidP="00CF1269">
      <w:pPr>
        <w:widowControl/>
        <w:rPr>
          <w:rFonts w:ascii="Arial" w:eastAsia="Calibri" w:hAnsi="Arial" w:cs="Arial"/>
        </w:rPr>
      </w:pPr>
    </w:p>
    <w:p w:rsidR="00CF1269" w:rsidRPr="00CF1269" w:rsidRDefault="00CF1269" w:rsidP="00CF1269">
      <w:pPr>
        <w:widowControl/>
        <w:rPr>
          <w:rFonts w:ascii="Arial" w:eastAsia="Calibri" w:hAnsi="Arial" w:cs="Arial"/>
          <w:sz w:val="24"/>
          <w:szCs w:val="24"/>
        </w:rPr>
      </w:pPr>
      <w:r w:rsidRPr="00CF1269">
        <w:rPr>
          <w:rFonts w:ascii="Arial" w:eastAsia="Calibri" w:hAnsi="Arial" w:cs="Arial"/>
          <w:sz w:val="24"/>
          <w:szCs w:val="24"/>
        </w:rPr>
        <w:t>Le mandat général du conseil consultatif consiste à formuler des avis consensuels au sujet de la réforme en cours en adoptant une approche fondée sur des données probantes. Pendant les délibérations du conseil consultatif, des intervenants clés et des experts seront invités à se prononcer.</w:t>
      </w:r>
    </w:p>
    <w:p w:rsidR="00CF1269" w:rsidRPr="00CF1269" w:rsidRDefault="00CF1269" w:rsidP="00CF1269">
      <w:pPr>
        <w:keepNext/>
        <w:keepLines/>
        <w:widowControl/>
        <w:spacing w:before="200" w:line="276" w:lineRule="auto"/>
        <w:outlineLvl w:val="1"/>
        <w:rPr>
          <w:rFonts w:ascii="Arial" w:eastAsia="Times New Roman" w:hAnsi="Arial" w:cs="Arial"/>
          <w:b/>
          <w:bCs/>
          <w:sz w:val="26"/>
          <w:szCs w:val="26"/>
        </w:rPr>
      </w:pPr>
      <w:r w:rsidRPr="00CF1269">
        <w:rPr>
          <w:rFonts w:ascii="Arial" w:eastAsia="Times New Roman" w:hAnsi="Arial" w:cs="Arial"/>
          <w:b/>
          <w:bCs/>
          <w:sz w:val="26"/>
          <w:szCs w:val="26"/>
        </w:rPr>
        <w:t>3.1 Rôles et responsabilités clés</w:t>
      </w:r>
    </w:p>
    <w:p w:rsidR="00CF1269" w:rsidRPr="00CF1269" w:rsidRDefault="00CF1269" w:rsidP="00CF1269">
      <w:pPr>
        <w:widowControl/>
        <w:spacing w:after="200"/>
        <w:rPr>
          <w:rFonts w:ascii="Arial" w:eastAsia="Calibri" w:hAnsi="Arial" w:cs="Arial"/>
          <w:sz w:val="24"/>
          <w:szCs w:val="24"/>
        </w:rPr>
      </w:pPr>
      <w:r w:rsidRPr="00CF1269">
        <w:rPr>
          <w:rFonts w:ascii="Arial" w:eastAsia="Calibri" w:hAnsi="Arial" w:cs="Arial"/>
          <w:sz w:val="24"/>
          <w:szCs w:val="24"/>
        </w:rPr>
        <w:t>Voici les rôles et responsabilités clés du conseil consultatif :</w:t>
      </w:r>
    </w:p>
    <w:p w:rsidR="00CF1269" w:rsidRPr="00CF1269" w:rsidRDefault="00CF1269" w:rsidP="00CF1269">
      <w:pPr>
        <w:widowControl/>
        <w:numPr>
          <w:ilvl w:val="0"/>
          <w:numId w:val="33"/>
        </w:numPr>
        <w:spacing w:after="240" w:line="276" w:lineRule="auto"/>
        <w:contextualSpacing/>
        <w:rPr>
          <w:rFonts w:ascii="Arial" w:eastAsia="Times New Roman" w:hAnsi="Arial" w:cs="Arial"/>
          <w:sz w:val="24"/>
          <w:szCs w:val="24"/>
        </w:rPr>
      </w:pPr>
      <w:r w:rsidRPr="00CF1269">
        <w:rPr>
          <w:rFonts w:ascii="Arial" w:eastAsia="Times New Roman" w:hAnsi="Arial" w:cs="Arial"/>
          <w:sz w:val="24"/>
          <w:szCs w:val="24"/>
        </w:rPr>
        <w:t>fournir une tribune pour que les membres puissent élaborer et recommander des propositions à l’égard des priorités, notamment au sujet des éventuels changements ou modifications à la législation et à la réglementation;</w:t>
      </w:r>
    </w:p>
    <w:p w:rsidR="00CF1269" w:rsidRPr="00CF1269" w:rsidRDefault="00CF1269" w:rsidP="00CF1269">
      <w:pPr>
        <w:widowControl/>
        <w:spacing w:after="240"/>
        <w:ind w:left="714"/>
        <w:contextualSpacing/>
        <w:rPr>
          <w:rFonts w:ascii="Arial" w:eastAsia="Times New Roman" w:hAnsi="Arial" w:cs="Arial"/>
          <w:sz w:val="24"/>
          <w:szCs w:val="24"/>
        </w:rPr>
      </w:pPr>
    </w:p>
    <w:p w:rsidR="00CF1269" w:rsidRPr="00CF1269" w:rsidRDefault="00CF1269" w:rsidP="00CF1269">
      <w:pPr>
        <w:widowControl/>
        <w:numPr>
          <w:ilvl w:val="0"/>
          <w:numId w:val="33"/>
        </w:numPr>
        <w:spacing w:after="240" w:line="276" w:lineRule="auto"/>
        <w:contextualSpacing/>
        <w:rPr>
          <w:rFonts w:ascii="Arial" w:eastAsia="Times New Roman" w:hAnsi="Arial" w:cs="Arial"/>
          <w:sz w:val="24"/>
          <w:szCs w:val="24"/>
        </w:rPr>
      </w:pPr>
      <w:r w:rsidRPr="00CF1269">
        <w:rPr>
          <w:rFonts w:ascii="Arial" w:eastAsia="Times New Roman" w:hAnsi="Arial" w:cs="Arial"/>
          <w:sz w:val="24"/>
          <w:szCs w:val="24"/>
        </w:rPr>
        <w:t>collaborer avec les intervenants d’une manière transparente et coopérative dans la formulation d’avis à l’intention du gouvernement;</w:t>
      </w:r>
    </w:p>
    <w:p w:rsidR="00CF1269" w:rsidRPr="00CF1269" w:rsidRDefault="00CF1269" w:rsidP="00CF1269">
      <w:pPr>
        <w:widowControl/>
        <w:ind w:left="720"/>
        <w:contextualSpacing/>
        <w:rPr>
          <w:rFonts w:ascii="Arial" w:eastAsia="Times New Roman" w:hAnsi="Arial" w:cs="Arial"/>
          <w:sz w:val="24"/>
          <w:szCs w:val="24"/>
        </w:rPr>
      </w:pPr>
    </w:p>
    <w:p w:rsidR="00CF1269" w:rsidRPr="00CF1269" w:rsidRDefault="00CF1269" w:rsidP="00CF1269">
      <w:pPr>
        <w:widowControl/>
        <w:numPr>
          <w:ilvl w:val="0"/>
          <w:numId w:val="33"/>
        </w:numPr>
        <w:spacing w:after="240" w:line="276" w:lineRule="auto"/>
        <w:contextualSpacing/>
        <w:rPr>
          <w:rFonts w:ascii="Arial" w:eastAsia="Times New Roman" w:hAnsi="Arial" w:cs="Arial"/>
          <w:sz w:val="24"/>
          <w:szCs w:val="24"/>
        </w:rPr>
      </w:pPr>
      <w:r w:rsidRPr="00CF1269">
        <w:rPr>
          <w:rFonts w:ascii="Arial" w:eastAsia="Times New Roman" w:hAnsi="Arial" w:cs="Arial"/>
          <w:sz w:val="24"/>
          <w:szCs w:val="24"/>
        </w:rPr>
        <w:lastRenderedPageBreak/>
        <w:t>fournir un rapport au gouvernement, annuellement ou selon les besoins, contenant des recommandations au sujet des actions prioritaires de réforme.</w:t>
      </w:r>
    </w:p>
    <w:p w:rsidR="00CF1269" w:rsidRPr="00CF1269" w:rsidRDefault="00CF1269" w:rsidP="00CF1269">
      <w:pPr>
        <w:widowControl/>
        <w:ind w:left="720"/>
        <w:contextualSpacing/>
        <w:rPr>
          <w:rFonts w:ascii="Arial" w:eastAsia="Times New Roman" w:hAnsi="Arial" w:cs="Arial"/>
          <w:sz w:val="24"/>
          <w:szCs w:val="24"/>
        </w:rPr>
      </w:pPr>
    </w:p>
    <w:p w:rsidR="00CF1269" w:rsidRPr="00CF1269" w:rsidRDefault="00CF1269" w:rsidP="00CF1269">
      <w:pPr>
        <w:widowControl/>
        <w:contextualSpacing/>
        <w:rPr>
          <w:rFonts w:ascii="Arial" w:eastAsia="Times New Roman" w:hAnsi="Arial" w:cs="Arial"/>
          <w:sz w:val="24"/>
          <w:szCs w:val="24"/>
        </w:rPr>
      </w:pPr>
      <w:r w:rsidRPr="00CF1269">
        <w:rPr>
          <w:rFonts w:ascii="Arial" w:eastAsia="Times New Roman" w:hAnsi="Arial" w:cs="Arial"/>
          <w:sz w:val="24"/>
          <w:szCs w:val="24"/>
        </w:rPr>
        <w:t>Les rôles et les responsabilités clés du comité du sous-ministre adjoint seront les suivants :</w:t>
      </w:r>
    </w:p>
    <w:p w:rsidR="00CF1269" w:rsidRPr="00CF1269" w:rsidRDefault="00CF1269" w:rsidP="00CF1269">
      <w:pPr>
        <w:widowControl/>
        <w:contextualSpacing/>
        <w:rPr>
          <w:rFonts w:ascii="Arial" w:eastAsia="Times New Roman" w:hAnsi="Arial" w:cs="Arial"/>
          <w:sz w:val="24"/>
          <w:szCs w:val="24"/>
        </w:rPr>
      </w:pPr>
    </w:p>
    <w:p w:rsidR="00CF1269" w:rsidRPr="00CF1269" w:rsidRDefault="00CF1269" w:rsidP="00CF1269">
      <w:pPr>
        <w:widowControl/>
        <w:numPr>
          <w:ilvl w:val="0"/>
          <w:numId w:val="32"/>
        </w:numPr>
        <w:spacing w:after="200" w:line="276" w:lineRule="auto"/>
        <w:contextualSpacing/>
        <w:rPr>
          <w:rFonts w:ascii="Arial" w:eastAsia="Times New Roman" w:hAnsi="Arial" w:cs="Arial"/>
          <w:sz w:val="24"/>
          <w:szCs w:val="24"/>
        </w:rPr>
      </w:pPr>
      <w:r w:rsidRPr="00CF1269">
        <w:rPr>
          <w:rFonts w:ascii="Arial" w:eastAsia="Times New Roman" w:hAnsi="Arial" w:cs="Arial"/>
          <w:sz w:val="24"/>
          <w:szCs w:val="24"/>
        </w:rPr>
        <w:t>superviser un processus cyclique de réception des avis, de présentation de recommandations au Conseil à des fins de décision et de prise de mesure par le gouvernement;</w:t>
      </w:r>
    </w:p>
    <w:p w:rsidR="00CF1269" w:rsidRPr="00CF1269" w:rsidRDefault="00CF1269" w:rsidP="00CF1269">
      <w:pPr>
        <w:widowControl/>
        <w:ind w:left="720"/>
        <w:contextualSpacing/>
        <w:rPr>
          <w:rFonts w:ascii="Arial" w:eastAsia="Times New Roman" w:hAnsi="Arial" w:cs="Arial"/>
          <w:sz w:val="24"/>
          <w:szCs w:val="24"/>
        </w:rPr>
      </w:pPr>
    </w:p>
    <w:p w:rsidR="00CF1269" w:rsidRPr="00CF1269" w:rsidRDefault="00CF1269" w:rsidP="00CF1269">
      <w:pPr>
        <w:widowControl/>
        <w:numPr>
          <w:ilvl w:val="0"/>
          <w:numId w:val="32"/>
        </w:numPr>
        <w:spacing w:after="200" w:line="276" w:lineRule="auto"/>
        <w:contextualSpacing/>
        <w:rPr>
          <w:rFonts w:ascii="Arial" w:eastAsia="Times New Roman" w:hAnsi="Arial" w:cs="Arial"/>
          <w:sz w:val="24"/>
          <w:szCs w:val="24"/>
        </w:rPr>
      </w:pPr>
      <w:r w:rsidRPr="00CF1269">
        <w:rPr>
          <w:rFonts w:ascii="Arial" w:eastAsia="Times New Roman" w:hAnsi="Arial" w:cs="Arial"/>
          <w:sz w:val="24"/>
          <w:szCs w:val="24"/>
        </w:rPr>
        <w:t>favoriser l’harmonisation des points de vue au sein du gouvernement au sujet des avis fournis au Conseil;</w:t>
      </w:r>
    </w:p>
    <w:p w:rsidR="00CF1269" w:rsidRPr="00CF1269" w:rsidRDefault="00CF1269" w:rsidP="00CF1269">
      <w:pPr>
        <w:widowControl/>
        <w:ind w:left="720"/>
        <w:contextualSpacing/>
        <w:rPr>
          <w:rFonts w:ascii="Arial" w:eastAsia="Times New Roman" w:hAnsi="Arial" w:cs="Arial"/>
          <w:sz w:val="24"/>
          <w:szCs w:val="24"/>
        </w:rPr>
      </w:pPr>
    </w:p>
    <w:p w:rsidR="00CF1269" w:rsidRPr="00CF1269" w:rsidRDefault="00CF1269" w:rsidP="00CF1269">
      <w:pPr>
        <w:widowControl/>
        <w:numPr>
          <w:ilvl w:val="0"/>
          <w:numId w:val="32"/>
        </w:numPr>
        <w:spacing w:after="200" w:line="276" w:lineRule="auto"/>
        <w:contextualSpacing/>
        <w:rPr>
          <w:rFonts w:ascii="Arial" w:eastAsia="Times New Roman" w:hAnsi="Arial" w:cs="Arial"/>
          <w:sz w:val="24"/>
          <w:szCs w:val="24"/>
        </w:rPr>
      </w:pPr>
      <w:r w:rsidRPr="00CF1269">
        <w:rPr>
          <w:rFonts w:ascii="Arial" w:eastAsia="Times New Roman" w:hAnsi="Arial" w:cs="Arial"/>
          <w:sz w:val="24"/>
          <w:szCs w:val="24"/>
        </w:rPr>
        <w:t>assurer la liaison avec le conseil consultatif afin d’assurer la transparence et la collaboration entre les ministères concernés et le conseil consultatif;</w:t>
      </w:r>
    </w:p>
    <w:p w:rsidR="00CF1269" w:rsidRPr="00CF1269" w:rsidRDefault="00CF1269" w:rsidP="00CF1269">
      <w:pPr>
        <w:widowControl/>
        <w:ind w:left="720"/>
        <w:contextualSpacing/>
        <w:rPr>
          <w:rFonts w:ascii="Arial" w:eastAsia="Times New Roman" w:hAnsi="Arial" w:cs="Arial"/>
          <w:sz w:val="24"/>
          <w:szCs w:val="24"/>
        </w:rPr>
      </w:pPr>
    </w:p>
    <w:p w:rsidR="00CF1269" w:rsidRPr="00CF1269" w:rsidRDefault="00CF1269" w:rsidP="00CF1269">
      <w:pPr>
        <w:widowControl/>
        <w:numPr>
          <w:ilvl w:val="0"/>
          <w:numId w:val="32"/>
        </w:numPr>
        <w:spacing w:after="200" w:line="276" w:lineRule="auto"/>
        <w:contextualSpacing/>
        <w:rPr>
          <w:rFonts w:ascii="Arial" w:eastAsia="Times New Roman" w:hAnsi="Arial" w:cs="Arial"/>
          <w:sz w:val="24"/>
          <w:szCs w:val="24"/>
        </w:rPr>
      </w:pPr>
      <w:r w:rsidRPr="00CF1269">
        <w:rPr>
          <w:rFonts w:ascii="Arial" w:eastAsia="Times New Roman" w:hAnsi="Arial" w:cs="Arial"/>
          <w:sz w:val="24"/>
          <w:szCs w:val="24"/>
        </w:rPr>
        <w:t>recevoir une ébauche de rapport, annuellement ou selon les besoins, de la part du conseil consultatif pour examen, et travailler en collaboration avec ce conseil, les ministères concernés et des intervenants externes, le cas échéant, à l’élaboration d’un rapport final qui sera soumis aux ministres appropriés;</w:t>
      </w:r>
    </w:p>
    <w:p w:rsidR="00CF1269" w:rsidRPr="00CF1269" w:rsidRDefault="00CF1269" w:rsidP="00CF1269">
      <w:pPr>
        <w:widowControl/>
        <w:ind w:left="720"/>
        <w:contextualSpacing/>
        <w:rPr>
          <w:rFonts w:ascii="Arial" w:eastAsia="Times New Roman" w:hAnsi="Arial" w:cs="Arial"/>
          <w:sz w:val="24"/>
          <w:szCs w:val="24"/>
        </w:rPr>
      </w:pPr>
    </w:p>
    <w:p w:rsidR="00CF1269" w:rsidRPr="00CF1269" w:rsidRDefault="00CF1269" w:rsidP="00CF1269">
      <w:pPr>
        <w:widowControl/>
        <w:numPr>
          <w:ilvl w:val="0"/>
          <w:numId w:val="32"/>
        </w:numPr>
        <w:spacing w:after="200" w:line="276" w:lineRule="auto"/>
        <w:contextualSpacing/>
        <w:rPr>
          <w:rFonts w:ascii="Arial" w:eastAsia="Times New Roman" w:hAnsi="Arial" w:cs="Arial"/>
          <w:sz w:val="24"/>
          <w:szCs w:val="24"/>
        </w:rPr>
      </w:pPr>
      <w:r w:rsidRPr="00CF1269">
        <w:rPr>
          <w:rFonts w:ascii="Arial" w:eastAsia="Times New Roman" w:hAnsi="Arial" w:cs="Times New Roman"/>
          <w:sz w:val="24"/>
          <w:szCs w:val="20"/>
        </w:rPr>
        <w:t xml:space="preserve">présenter </w:t>
      </w:r>
      <w:r w:rsidRPr="00CF1269">
        <w:rPr>
          <w:rFonts w:ascii="Arial" w:eastAsia="Times New Roman" w:hAnsi="Arial" w:cs="Arial"/>
          <w:sz w:val="24"/>
          <w:szCs w:val="24"/>
        </w:rPr>
        <w:t>le rapport aux décideurs pour examen, en temps opportun;</w:t>
      </w:r>
    </w:p>
    <w:p w:rsidR="00CF1269" w:rsidRPr="00CF1269" w:rsidRDefault="00CF1269" w:rsidP="00CF1269">
      <w:pPr>
        <w:widowControl/>
        <w:ind w:left="720"/>
        <w:contextualSpacing/>
        <w:rPr>
          <w:rFonts w:ascii="Arial" w:eastAsia="Times New Roman" w:hAnsi="Arial" w:cs="Arial"/>
          <w:sz w:val="24"/>
          <w:szCs w:val="24"/>
        </w:rPr>
      </w:pPr>
    </w:p>
    <w:p w:rsidR="00CF1269" w:rsidRPr="00CF1269" w:rsidRDefault="00CF1269" w:rsidP="00CF1269">
      <w:pPr>
        <w:widowControl/>
        <w:numPr>
          <w:ilvl w:val="0"/>
          <w:numId w:val="32"/>
        </w:numPr>
        <w:spacing w:after="200" w:line="276" w:lineRule="auto"/>
        <w:contextualSpacing/>
        <w:rPr>
          <w:rFonts w:ascii="Arial" w:eastAsia="Times New Roman" w:hAnsi="Arial" w:cs="Arial"/>
          <w:sz w:val="24"/>
          <w:szCs w:val="24"/>
        </w:rPr>
      </w:pPr>
      <w:r w:rsidRPr="00CF1269">
        <w:rPr>
          <w:rFonts w:ascii="Arial" w:eastAsia="Times New Roman" w:hAnsi="Arial" w:cs="Arial"/>
          <w:sz w:val="24"/>
          <w:szCs w:val="24"/>
        </w:rPr>
        <w:t>soutenir la mise en œuvre rapide des recommandations adoptées par le gouvernement.</w:t>
      </w:r>
    </w:p>
    <w:p w:rsidR="00CF1269" w:rsidRPr="00CF1269" w:rsidRDefault="00CF1269" w:rsidP="00CF1269">
      <w:pPr>
        <w:keepNext/>
        <w:keepLines/>
        <w:widowControl/>
        <w:spacing w:before="200" w:line="276" w:lineRule="auto"/>
        <w:outlineLvl w:val="1"/>
        <w:rPr>
          <w:rFonts w:ascii="Arial" w:eastAsia="Times New Roman" w:hAnsi="Arial" w:cs="Arial"/>
          <w:b/>
          <w:bCs/>
          <w:sz w:val="26"/>
          <w:szCs w:val="26"/>
        </w:rPr>
      </w:pPr>
      <w:r w:rsidRPr="00CF1269">
        <w:rPr>
          <w:rFonts w:ascii="Arial" w:eastAsia="Times New Roman" w:hAnsi="Arial" w:cs="Arial"/>
          <w:b/>
          <w:bCs/>
          <w:sz w:val="26"/>
          <w:szCs w:val="26"/>
        </w:rPr>
        <w:t>3.2 Rôles et responsabilités clés – Président et vice-président du conseil consultatif</w:t>
      </w:r>
    </w:p>
    <w:p w:rsidR="00CF1269" w:rsidRPr="00CF1269" w:rsidRDefault="00CF1269" w:rsidP="00CF1269">
      <w:pPr>
        <w:widowControl/>
        <w:spacing w:after="200"/>
        <w:rPr>
          <w:rFonts w:ascii="Arial" w:eastAsia="Calibri" w:hAnsi="Arial" w:cs="Arial"/>
          <w:sz w:val="24"/>
          <w:szCs w:val="24"/>
        </w:rPr>
      </w:pPr>
      <w:r w:rsidRPr="00CF1269">
        <w:rPr>
          <w:rFonts w:ascii="Arial" w:eastAsia="Calibri" w:hAnsi="Arial" w:cs="Arial"/>
          <w:sz w:val="24"/>
          <w:szCs w:val="24"/>
        </w:rPr>
        <w:t>Un président et un vice-président seront chargés de :</w:t>
      </w:r>
    </w:p>
    <w:p w:rsidR="00CF1269" w:rsidRPr="00CF1269" w:rsidRDefault="00CF1269" w:rsidP="00CF1269">
      <w:pPr>
        <w:widowControl/>
        <w:numPr>
          <w:ilvl w:val="0"/>
          <w:numId w:val="31"/>
        </w:numPr>
        <w:spacing w:after="200" w:line="276" w:lineRule="auto"/>
        <w:contextualSpacing/>
        <w:rPr>
          <w:rFonts w:ascii="Arial" w:eastAsia="Times New Roman" w:hAnsi="Arial" w:cs="Arial"/>
          <w:sz w:val="24"/>
          <w:szCs w:val="24"/>
        </w:rPr>
      </w:pPr>
      <w:r w:rsidRPr="00CF1269">
        <w:rPr>
          <w:rFonts w:ascii="Arial" w:eastAsia="Times New Roman" w:hAnsi="Arial" w:cs="Arial"/>
          <w:sz w:val="24"/>
          <w:szCs w:val="24"/>
        </w:rPr>
        <w:t>créer un environnement ouvert et collaboratif qui encourage le dialogue constructif entre tous les membres;</w:t>
      </w:r>
    </w:p>
    <w:p w:rsidR="00CF1269" w:rsidRPr="00CF1269" w:rsidRDefault="00CF1269" w:rsidP="00CF1269">
      <w:pPr>
        <w:widowControl/>
        <w:rPr>
          <w:rFonts w:ascii="Arial" w:eastAsia="Calibri" w:hAnsi="Arial" w:cs="Arial"/>
          <w:sz w:val="24"/>
          <w:szCs w:val="24"/>
        </w:rPr>
      </w:pPr>
    </w:p>
    <w:p w:rsidR="00CF1269" w:rsidRPr="00CF1269" w:rsidRDefault="00CF1269" w:rsidP="00CF1269">
      <w:pPr>
        <w:widowControl/>
        <w:numPr>
          <w:ilvl w:val="0"/>
          <w:numId w:val="31"/>
        </w:numPr>
        <w:spacing w:after="200" w:line="276" w:lineRule="auto"/>
        <w:contextualSpacing/>
        <w:rPr>
          <w:rFonts w:ascii="Arial" w:eastAsia="Times New Roman" w:hAnsi="Arial" w:cs="Arial"/>
          <w:sz w:val="24"/>
          <w:szCs w:val="24"/>
        </w:rPr>
      </w:pPr>
      <w:r w:rsidRPr="00CF1269">
        <w:rPr>
          <w:rFonts w:ascii="Arial" w:eastAsia="Times New Roman" w:hAnsi="Arial" w:cs="Arial"/>
          <w:sz w:val="24"/>
          <w:szCs w:val="24"/>
        </w:rPr>
        <w:t>faciliter la prise de décisions par voie de consensus afin de réaliser des progrès sur les questions faisant l’objet de discussions;</w:t>
      </w:r>
    </w:p>
    <w:p w:rsidR="00CF1269" w:rsidRPr="00CF1269" w:rsidRDefault="00CF1269" w:rsidP="00CF1269">
      <w:pPr>
        <w:widowControl/>
        <w:ind w:left="720"/>
        <w:contextualSpacing/>
        <w:rPr>
          <w:rFonts w:ascii="Arial" w:eastAsia="Times New Roman" w:hAnsi="Arial" w:cs="Arial"/>
          <w:sz w:val="24"/>
          <w:szCs w:val="24"/>
        </w:rPr>
      </w:pPr>
    </w:p>
    <w:p w:rsidR="00CF1269" w:rsidRPr="00CF1269" w:rsidRDefault="00CF1269" w:rsidP="00CF1269">
      <w:pPr>
        <w:widowControl/>
        <w:numPr>
          <w:ilvl w:val="0"/>
          <w:numId w:val="31"/>
        </w:numPr>
        <w:spacing w:after="200" w:line="276" w:lineRule="auto"/>
        <w:contextualSpacing/>
        <w:rPr>
          <w:rFonts w:ascii="Arial" w:eastAsia="Times New Roman" w:hAnsi="Arial" w:cs="Arial"/>
          <w:sz w:val="24"/>
          <w:szCs w:val="24"/>
        </w:rPr>
      </w:pPr>
      <w:r w:rsidRPr="00CF1269">
        <w:rPr>
          <w:rFonts w:ascii="Arial" w:eastAsia="Times New Roman" w:hAnsi="Arial" w:cs="Arial"/>
          <w:sz w:val="24"/>
          <w:szCs w:val="24"/>
        </w:rPr>
        <w:t>s’assurer que les intervenants qui ne sont pas représentés au conseil consultatif peuvent contribuer de manière importante au processus et formuler des commentaires au sujet des avis fournis au gouvernement;</w:t>
      </w:r>
    </w:p>
    <w:p w:rsidR="00CF1269" w:rsidRPr="00CF1269" w:rsidRDefault="00CF1269" w:rsidP="00CF1269">
      <w:pPr>
        <w:widowControl/>
        <w:rPr>
          <w:rFonts w:ascii="Arial" w:eastAsia="Calibri" w:hAnsi="Arial" w:cs="Arial"/>
          <w:sz w:val="24"/>
          <w:szCs w:val="24"/>
        </w:rPr>
      </w:pPr>
    </w:p>
    <w:p w:rsidR="00CF1269" w:rsidRPr="00CF1269" w:rsidRDefault="00CF1269" w:rsidP="00CF1269">
      <w:pPr>
        <w:widowControl/>
        <w:numPr>
          <w:ilvl w:val="0"/>
          <w:numId w:val="31"/>
        </w:numPr>
        <w:spacing w:after="200" w:line="276" w:lineRule="auto"/>
        <w:contextualSpacing/>
        <w:rPr>
          <w:rFonts w:ascii="Arial" w:eastAsia="Times New Roman" w:hAnsi="Arial" w:cs="Arial"/>
          <w:sz w:val="24"/>
          <w:szCs w:val="24"/>
        </w:rPr>
      </w:pPr>
      <w:r w:rsidRPr="00CF1269">
        <w:rPr>
          <w:rFonts w:ascii="Arial" w:eastAsia="Times New Roman" w:hAnsi="Arial" w:cs="Arial"/>
          <w:sz w:val="24"/>
          <w:szCs w:val="24"/>
        </w:rPr>
        <w:t>représenter le conseil consultatif lors de la présentation des progrès et d’autres rapports;</w:t>
      </w:r>
    </w:p>
    <w:p w:rsidR="00CF1269" w:rsidRPr="00CF1269" w:rsidRDefault="00CF1269" w:rsidP="00CF1269">
      <w:pPr>
        <w:widowControl/>
        <w:ind w:left="720"/>
        <w:contextualSpacing/>
        <w:rPr>
          <w:rFonts w:ascii="Arial" w:eastAsia="Times New Roman" w:hAnsi="Arial" w:cs="Arial"/>
          <w:sz w:val="24"/>
          <w:szCs w:val="24"/>
        </w:rPr>
      </w:pPr>
    </w:p>
    <w:p w:rsidR="00CF1269" w:rsidRPr="00CF1269" w:rsidRDefault="00CF1269" w:rsidP="00CF1269">
      <w:pPr>
        <w:widowControl/>
        <w:numPr>
          <w:ilvl w:val="0"/>
          <w:numId w:val="31"/>
        </w:numPr>
        <w:spacing w:after="200" w:line="276" w:lineRule="auto"/>
        <w:contextualSpacing/>
        <w:rPr>
          <w:rFonts w:ascii="Arial" w:eastAsia="Times New Roman" w:hAnsi="Arial" w:cs="Arial"/>
          <w:sz w:val="24"/>
          <w:szCs w:val="24"/>
        </w:rPr>
      </w:pPr>
      <w:r w:rsidRPr="00CF1269">
        <w:rPr>
          <w:rFonts w:ascii="Arial" w:eastAsia="Times New Roman" w:hAnsi="Arial" w:cs="Arial"/>
          <w:sz w:val="24"/>
          <w:szCs w:val="24"/>
        </w:rPr>
        <w:t>donner leur avis au sujet des candidats et recommander certains d’entre eux pour une nomination au conseil consultatif;</w:t>
      </w:r>
    </w:p>
    <w:p w:rsidR="00CF1269" w:rsidRPr="00CF1269" w:rsidRDefault="00CF1269" w:rsidP="00CF1269">
      <w:pPr>
        <w:widowControl/>
        <w:ind w:left="720"/>
        <w:contextualSpacing/>
        <w:rPr>
          <w:rFonts w:ascii="Arial" w:eastAsia="Times New Roman" w:hAnsi="Arial" w:cs="Arial"/>
          <w:sz w:val="24"/>
          <w:szCs w:val="24"/>
        </w:rPr>
      </w:pPr>
    </w:p>
    <w:p w:rsidR="00CF1269" w:rsidRPr="00CF1269" w:rsidRDefault="00CF1269" w:rsidP="00CF1269">
      <w:pPr>
        <w:widowControl/>
        <w:numPr>
          <w:ilvl w:val="0"/>
          <w:numId w:val="31"/>
        </w:numPr>
        <w:spacing w:after="200" w:line="276" w:lineRule="auto"/>
        <w:contextualSpacing/>
        <w:rPr>
          <w:rFonts w:ascii="Arial" w:eastAsia="Times New Roman" w:hAnsi="Arial" w:cs="Arial"/>
          <w:sz w:val="24"/>
          <w:szCs w:val="24"/>
        </w:rPr>
      </w:pPr>
      <w:r w:rsidRPr="00CF1269">
        <w:rPr>
          <w:rFonts w:ascii="Arial" w:eastAsia="Times New Roman" w:hAnsi="Arial" w:cs="Arial"/>
          <w:sz w:val="24"/>
          <w:szCs w:val="24"/>
        </w:rPr>
        <w:lastRenderedPageBreak/>
        <w:t>établir des protocoles à suivre lors des réunions, des prises de décisions et des activités connexes;</w:t>
      </w:r>
    </w:p>
    <w:p w:rsidR="00CF1269" w:rsidRPr="00CF1269" w:rsidRDefault="00CF1269" w:rsidP="00CF1269">
      <w:pPr>
        <w:widowControl/>
        <w:ind w:left="720"/>
        <w:contextualSpacing/>
        <w:rPr>
          <w:rFonts w:ascii="Arial" w:eastAsia="Times New Roman" w:hAnsi="Arial" w:cs="Arial"/>
          <w:sz w:val="24"/>
          <w:szCs w:val="24"/>
        </w:rPr>
      </w:pPr>
    </w:p>
    <w:p w:rsidR="00CF1269" w:rsidRDefault="00CF1269" w:rsidP="00CF1269">
      <w:pPr>
        <w:widowControl/>
        <w:numPr>
          <w:ilvl w:val="0"/>
          <w:numId w:val="31"/>
        </w:numPr>
        <w:spacing w:after="200" w:line="276" w:lineRule="auto"/>
        <w:contextualSpacing/>
        <w:rPr>
          <w:rFonts w:ascii="Arial" w:eastAsia="Times New Roman" w:hAnsi="Arial" w:cs="Arial"/>
          <w:sz w:val="24"/>
          <w:szCs w:val="24"/>
        </w:rPr>
      </w:pPr>
      <w:r w:rsidRPr="00CF1269">
        <w:rPr>
          <w:rFonts w:ascii="Arial" w:eastAsia="Times New Roman" w:hAnsi="Arial" w:cs="Arial"/>
          <w:sz w:val="24"/>
          <w:szCs w:val="24"/>
        </w:rPr>
        <w:t>assurer la liaison avec le comité du sous-ministre adjoint et le ministre approprié ou le procureur général et leur soumettre des avis et des recommandations.</w:t>
      </w:r>
    </w:p>
    <w:p w:rsidR="00132B0A" w:rsidRPr="00CF1269" w:rsidRDefault="00132B0A" w:rsidP="00132B0A">
      <w:pPr>
        <w:widowControl/>
        <w:spacing w:after="200" w:line="276" w:lineRule="auto"/>
        <w:contextualSpacing/>
        <w:rPr>
          <w:rFonts w:ascii="Arial" w:eastAsia="Times New Roman" w:hAnsi="Arial" w:cs="Arial"/>
          <w:sz w:val="24"/>
          <w:szCs w:val="24"/>
        </w:rPr>
      </w:pPr>
    </w:p>
    <w:p w:rsidR="00CF1269" w:rsidRPr="00CF1269" w:rsidRDefault="00CF1269" w:rsidP="00CF1269">
      <w:pPr>
        <w:keepNext/>
        <w:keepLines/>
        <w:widowControl/>
        <w:spacing w:before="200" w:line="276" w:lineRule="auto"/>
        <w:outlineLvl w:val="1"/>
        <w:rPr>
          <w:rFonts w:ascii="Arial" w:eastAsia="Times New Roman" w:hAnsi="Arial" w:cs="Arial"/>
          <w:b/>
          <w:bCs/>
          <w:sz w:val="26"/>
          <w:szCs w:val="26"/>
        </w:rPr>
      </w:pPr>
      <w:r w:rsidRPr="00CF1269">
        <w:rPr>
          <w:rFonts w:ascii="Arial" w:eastAsia="Times New Roman" w:hAnsi="Arial" w:cs="Arial"/>
          <w:b/>
          <w:bCs/>
          <w:sz w:val="26"/>
          <w:szCs w:val="26"/>
        </w:rPr>
        <w:t xml:space="preserve">3.3 Établissement de l’ordre du jour et de rapports </w:t>
      </w:r>
    </w:p>
    <w:p w:rsidR="00CF1269" w:rsidRPr="00CF1269" w:rsidRDefault="00CF1269" w:rsidP="00CF1269">
      <w:pPr>
        <w:widowControl/>
        <w:spacing w:after="200"/>
        <w:rPr>
          <w:rFonts w:ascii="Arial" w:eastAsia="Calibri" w:hAnsi="Arial" w:cs="Arial"/>
          <w:sz w:val="24"/>
          <w:szCs w:val="24"/>
        </w:rPr>
      </w:pPr>
      <w:r w:rsidRPr="00CF1269">
        <w:rPr>
          <w:rFonts w:ascii="Arial" w:eastAsia="Calibri" w:hAnsi="Arial" w:cs="Arial"/>
          <w:sz w:val="24"/>
          <w:szCs w:val="24"/>
        </w:rPr>
        <w:t>Le conseil consultatif, en consultation avec le comité du sous-ministre adjoint, tentera d’obtenir un consensus sur les points prioritaires à inscrire à l’ordre du jour des réunions du conseil consultatif.</w:t>
      </w:r>
    </w:p>
    <w:p w:rsidR="00CF1269" w:rsidRPr="00CF1269" w:rsidRDefault="00CF1269" w:rsidP="00CF1269">
      <w:pPr>
        <w:widowControl/>
        <w:spacing w:after="200"/>
        <w:rPr>
          <w:rFonts w:ascii="Arial" w:eastAsia="Calibri" w:hAnsi="Arial" w:cs="Arial"/>
          <w:sz w:val="24"/>
          <w:szCs w:val="24"/>
        </w:rPr>
      </w:pPr>
      <w:r w:rsidRPr="00CF1269">
        <w:rPr>
          <w:rFonts w:ascii="Arial" w:eastAsia="Calibri" w:hAnsi="Arial" w:cs="Arial"/>
          <w:sz w:val="24"/>
          <w:szCs w:val="24"/>
        </w:rPr>
        <w:t>Le conseil consultatif fera rapport au comité du sous-ministre adjoint par l’entremise de son président et de son vice-président, sur demande ou selon les besoins.</w:t>
      </w:r>
    </w:p>
    <w:p w:rsidR="00CF1269" w:rsidRPr="00CF1269" w:rsidRDefault="00CF1269" w:rsidP="00CF1269">
      <w:pPr>
        <w:keepNext/>
        <w:keepLines/>
        <w:widowControl/>
        <w:spacing w:before="200" w:line="276" w:lineRule="auto"/>
        <w:outlineLvl w:val="1"/>
        <w:rPr>
          <w:rFonts w:ascii="Arial" w:eastAsia="Times New Roman" w:hAnsi="Arial" w:cs="Arial"/>
          <w:b/>
          <w:bCs/>
          <w:sz w:val="26"/>
          <w:szCs w:val="26"/>
        </w:rPr>
      </w:pPr>
      <w:r w:rsidRPr="00CF1269">
        <w:rPr>
          <w:rFonts w:ascii="Arial" w:eastAsia="Times New Roman" w:hAnsi="Arial" w:cs="Arial"/>
          <w:b/>
          <w:bCs/>
          <w:sz w:val="26"/>
          <w:szCs w:val="26"/>
        </w:rPr>
        <w:t>3.4 Processus de nomination</w:t>
      </w:r>
    </w:p>
    <w:p w:rsidR="00CF1269" w:rsidRPr="00CF1269" w:rsidRDefault="00CF1269" w:rsidP="00CF1269">
      <w:pPr>
        <w:widowControl/>
        <w:spacing w:after="200"/>
        <w:rPr>
          <w:rFonts w:ascii="Arial" w:eastAsia="Calibri" w:hAnsi="Arial" w:cs="Arial"/>
          <w:sz w:val="24"/>
          <w:szCs w:val="24"/>
        </w:rPr>
      </w:pPr>
      <w:r w:rsidRPr="00CF1269">
        <w:rPr>
          <w:rFonts w:ascii="Arial" w:eastAsia="Calibri" w:hAnsi="Arial" w:cs="Arial"/>
          <w:sz w:val="24"/>
          <w:szCs w:val="24"/>
        </w:rPr>
        <w:t>Les nominations du président, du vice-président et de jusqu’à dix membres du conseil seront effectuées dans une lettre du ministre, à sa discrétion.</w:t>
      </w:r>
    </w:p>
    <w:p w:rsidR="00CF1269" w:rsidRPr="00CF1269" w:rsidRDefault="00CF1269" w:rsidP="00CF1269">
      <w:pPr>
        <w:keepNext/>
        <w:keepLines/>
        <w:widowControl/>
        <w:spacing w:before="480" w:line="276" w:lineRule="auto"/>
        <w:outlineLvl w:val="0"/>
        <w:rPr>
          <w:rFonts w:ascii="Arial" w:eastAsia="Times New Roman" w:hAnsi="Arial" w:cs="Arial"/>
          <w:b/>
          <w:bCs/>
          <w:sz w:val="28"/>
          <w:szCs w:val="28"/>
        </w:rPr>
      </w:pPr>
      <w:r w:rsidRPr="00CF1269">
        <w:rPr>
          <w:rFonts w:ascii="Arial" w:eastAsia="Times New Roman" w:hAnsi="Arial" w:cs="Arial"/>
          <w:b/>
          <w:bCs/>
          <w:sz w:val="28"/>
          <w:szCs w:val="28"/>
        </w:rPr>
        <w:t>4.0 Membres</w:t>
      </w:r>
    </w:p>
    <w:p w:rsidR="00CF1269" w:rsidRPr="00CF1269" w:rsidRDefault="00CF1269" w:rsidP="00CF1269">
      <w:pPr>
        <w:keepNext/>
        <w:keepLines/>
        <w:widowControl/>
        <w:spacing w:before="200" w:line="276" w:lineRule="auto"/>
        <w:outlineLvl w:val="1"/>
        <w:rPr>
          <w:rFonts w:ascii="Arial" w:eastAsia="Times New Roman" w:hAnsi="Arial" w:cs="Arial"/>
          <w:b/>
          <w:bCs/>
          <w:sz w:val="26"/>
          <w:szCs w:val="26"/>
        </w:rPr>
      </w:pPr>
      <w:r w:rsidRPr="00CF1269">
        <w:rPr>
          <w:rFonts w:ascii="Arial" w:eastAsia="Times New Roman" w:hAnsi="Arial" w:cs="Arial"/>
          <w:b/>
          <w:bCs/>
          <w:sz w:val="26"/>
          <w:szCs w:val="26"/>
        </w:rPr>
        <w:t>4.1 Composition du conseil consultatif</w:t>
      </w:r>
    </w:p>
    <w:p w:rsidR="00CF1269" w:rsidRPr="00CF1269" w:rsidRDefault="00CF1269" w:rsidP="00CF1269">
      <w:pPr>
        <w:widowControl/>
        <w:rPr>
          <w:rFonts w:ascii="Arial" w:eastAsia="Calibri" w:hAnsi="Arial" w:cs="Arial"/>
          <w:sz w:val="24"/>
          <w:szCs w:val="24"/>
        </w:rPr>
      </w:pPr>
      <w:r w:rsidRPr="00CF1269">
        <w:rPr>
          <w:rFonts w:ascii="Arial" w:eastAsia="Calibri" w:hAnsi="Arial" w:cs="Arial"/>
          <w:sz w:val="24"/>
          <w:szCs w:val="24"/>
        </w:rPr>
        <w:t>Le conseil consultatif sera composé du président, du vice-président et de jusqu’à dix membres du conseil. Il sera constitué de membres de l’Association du Barreau de l’Ontario et d’autres membres experts de la communauté juridique dont le parcours professionnel et l’expertise devraient apporter une contribution importante aux travaux du conseil consultatif.</w:t>
      </w:r>
    </w:p>
    <w:p w:rsidR="00CF1269" w:rsidRPr="00CF1269" w:rsidRDefault="00CF1269" w:rsidP="00CF1269">
      <w:pPr>
        <w:widowControl/>
        <w:rPr>
          <w:rFonts w:ascii="Arial" w:eastAsia="Calibri" w:hAnsi="Arial" w:cs="Arial"/>
          <w:sz w:val="24"/>
          <w:szCs w:val="24"/>
        </w:rPr>
      </w:pPr>
    </w:p>
    <w:p w:rsidR="00CF1269" w:rsidRPr="00CF1269" w:rsidRDefault="00CF1269" w:rsidP="00CF1269">
      <w:pPr>
        <w:widowControl/>
        <w:spacing w:after="200"/>
        <w:rPr>
          <w:rFonts w:ascii="Arial" w:eastAsia="Calibri" w:hAnsi="Arial" w:cs="Arial"/>
          <w:sz w:val="24"/>
          <w:szCs w:val="24"/>
        </w:rPr>
      </w:pPr>
      <w:r w:rsidRPr="00CF1269">
        <w:rPr>
          <w:rFonts w:ascii="Arial" w:eastAsia="Calibri" w:hAnsi="Arial" w:cs="Arial"/>
          <w:sz w:val="24"/>
          <w:szCs w:val="24"/>
        </w:rPr>
        <w:t>Le président et le vice-président seront nommés par le ministre des Services gouvernementaux et des Services aux consommateurs pour un mandat d’une durée maximale de trois ans, suivant un processus de sélection consistant à un appel de manifestations d’intérêt effectué et géré le MSGSC. Les membres du conseil consultatif seront sélectionnés par le ministre des Services gouvernementaux et des Services aux consommateurs en consultation avec le président, le vice-président, le procureur général et le ministre des Finances et d’autres intervenants, chacun apportant des compétences et des points de vue différents.</w:t>
      </w:r>
    </w:p>
    <w:p w:rsidR="00CF1269" w:rsidRPr="00CF1269" w:rsidRDefault="00CF1269" w:rsidP="00CF1269">
      <w:pPr>
        <w:widowControl/>
        <w:spacing w:after="200"/>
        <w:rPr>
          <w:rFonts w:ascii="Arial" w:eastAsia="Calibri" w:hAnsi="Arial" w:cs="Arial"/>
          <w:sz w:val="24"/>
          <w:szCs w:val="24"/>
        </w:rPr>
      </w:pPr>
      <w:r w:rsidRPr="00CF1269">
        <w:rPr>
          <w:rFonts w:ascii="Arial" w:eastAsia="Calibri" w:hAnsi="Arial" w:cs="Arial"/>
          <w:sz w:val="24"/>
          <w:szCs w:val="24"/>
        </w:rPr>
        <w:t>Les membres du conseil consultatif, le président et le vice-président seront nommés à titre individuel, et ne favoriseront pas un client ou une organisation auquel ils sont associés.</w:t>
      </w:r>
    </w:p>
    <w:p w:rsidR="00CF1269" w:rsidRPr="00CF1269" w:rsidRDefault="00CF1269" w:rsidP="00CF1269">
      <w:pPr>
        <w:widowControl/>
        <w:spacing w:after="200"/>
        <w:rPr>
          <w:rFonts w:ascii="Arial" w:eastAsia="Calibri" w:hAnsi="Arial" w:cs="Arial"/>
          <w:b/>
          <w:sz w:val="24"/>
          <w:szCs w:val="24"/>
        </w:rPr>
      </w:pPr>
      <w:r w:rsidRPr="00CF1269">
        <w:rPr>
          <w:rFonts w:ascii="Arial" w:eastAsia="Calibri" w:hAnsi="Arial" w:cs="Arial"/>
          <w:sz w:val="24"/>
          <w:szCs w:val="24"/>
        </w:rPr>
        <w:t>Le conseil consultatif examinera le cadre de référence actuel, et le président présentera le cadre de référence du ministre des Services gouvernementaux et des Services aux consommateurs pour approbation.</w:t>
      </w:r>
    </w:p>
    <w:p w:rsidR="00CF1269" w:rsidRPr="00CF1269" w:rsidRDefault="00CF1269" w:rsidP="00CF1269">
      <w:pPr>
        <w:keepNext/>
        <w:keepLines/>
        <w:widowControl/>
        <w:spacing w:before="200" w:line="276" w:lineRule="auto"/>
        <w:outlineLvl w:val="1"/>
        <w:rPr>
          <w:rFonts w:ascii="Arial" w:eastAsia="Times New Roman" w:hAnsi="Arial" w:cs="Arial"/>
          <w:b/>
          <w:bCs/>
          <w:sz w:val="26"/>
          <w:szCs w:val="26"/>
        </w:rPr>
      </w:pPr>
      <w:r w:rsidRPr="00CF1269">
        <w:rPr>
          <w:rFonts w:ascii="Arial" w:eastAsia="Times New Roman" w:hAnsi="Arial" w:cs="Arial"/>
          <w:b/>
          <w:bCs/>
          <w:sz w:val="26"/>
          <w:szCs w:val="26"/>
        </w:rPr>
        <w:t xml:space="preserve">4.2 Durée du mandat </w:t>
      </w:r>
    </w:p>
    <w:p w:rsidR="00CF1269" w:rsidRPr="00CF1269" w:rsidRDefault="00CF1269" w:rsidP="00CF1269">
      <w:pPr>
        <w:widowControl/>
        <w:spacing w:after="200"/>
        <w:rPr>
          <w:rFonts w:ascii="Arial" w:eastAsia="Calibri" w:hAnsi="Arial" w:cs="Arial"/>
          <w:sz w:val="24"/>
          <w:szCs w:val="24"/>
        </w:rPr>
      </w:pPr>
      <w:r w:rsidRPr="00CF1269">
        <w:rPr>
          <w:rFonts w:ascii="Arial" w:eastAsia="Calibri" w:hAnsi="Arial" w:cs="Arial"/>
          <w:sz w:val="24"/>
          <w:szCs w:val="24"/>
        </w:rPr>
        <w:t>Le président et le vice-président du conseil consultatif seront nommés pour une durée maximale de trois ans.</w:t>
      </w:r>
    </w:p>
    <w:p w:rsidR="00CF1269" w:rsidRPr="00CF1269" w:rsidRDefault="00CF1269" w:rsidP="00CF1269">
      <w:pPr>
        <w:widowControl/>
        <w:spacing w:after="200"/>
        <w:rPr>
          <w:rFonts w:ascii="Arial" w:eastAsia="Calibri" w:hAnsi="Arial" w:cs="Arial"/>
          <w:sz w:val="24"/>
          <w:szCs w:val="24"/>
        </w:rPr>
      </w:pPr>
      <w:r w:rsidRPr="00CF1269">
        <w:rPr>
          <w:rFonts w:ascii="Arial" w:eastAsia="Calibri" w:hAnsi="Arial" w:cs="Arial"/>
          <w:sz w:val="24"/>
          <w:szCs w:val="24"/>
        </w:rPr>
        <w:t xml:space="preserve">Les autres membres du conseil consultatif seront nommés pour une période initiale ne dépassant pas dix-huit mois, et les mandats peuvent être renouvelés pour des périodes </w:t>
      </w:r>
      <w:r w:rsidRPr="00CF1269">
        <w:rPr>
          <w:rFonts w:ascii="Arial" w:eastAsia="Calibri" w:hAnsi="Arial" w:cs="Arial"/>
          <w:sz w:val="24"/>
          <w:szCs w:val="24"/>
        </w:rPr>
        <w:lastRenderedPageBreak/>
        <w:t>supplémentaires. La durée totale des mandats initiaux et additionnels ne doit pas dépasser trois ans.</w:t>
      </w:r>
    </w:p>
    <w:p w:rsidR="00CF1269" w:rsidRPr="00CF1269" w:rsidRDefault="00CF1269" w:rsidP="00CF1269">
      <w:pPr>
        <w:keepNext/>
        <w:keepLines/>
        <w:widowControl/>
        <w:spacing w:before="200" w:line="276" w:lineRule="auto"/>
        <w:outlineLvl w:val="1"/>
        <w:rPr>
          <w:rFonts w:ascii="Arial" w:eastAsia="Times New Roman" w:hAnsi="Arial" w:cs="Arial"/>
          <w:b/>
          <w:bCs/>
          <w:sz w:val="26"/>
          <w:szCs w:val="26"/>
        </w:rPr>
      </w:pPr>
      <w:r w:rsidRPr="00CF1269">
        <w:rPr>
          <w:rFonts w:ascii="Arial" w:eastAsia="Times New Roman" w:hAnsi="Arial" w:cs="Arial"/>
          <w:b/>
          <w:bCs/>
          <w:sz w:val="26"/>
          <w:szCs w:val="26"/>
        </w:rPr>
        <w:t>4.3 Rémunération et dépenses</w:t>
      </w:r>
    </w:p>
    <w:p w:rsidR="00CF1269" w:rsidRPr="00CF1269" w:rsidRDefault="00CF1269" w:rsidP="00CF1269">
      <w:pPr>
        <w:widowControl/>
        <w:spacing w:after="200"/>
        <w:rPr>
          <w:rFonts w:ascii="Arial" w:eastAsia="Calibri" w:hAnsi="Arial" w:cs="Arial"/>
          <w:sz w:val="24"/>
          <w:szCs w:val="24"/>
        </w:rPr>
      </w:pPr>
      <w:r w:rsidRPr="00CF1269">
        <w:rPr>
          <w:rFonts w:ascii="Arial" w:eastAsia="Calibri" w:hAnsi="Arial" w:cs="Arial"/>
          <w:sz w:val="24"/>
          <w:szCs w:val="24"/>
        </w:rPr>
        <w:t>Les membres du conseil consultatif ne recevront aucune rémunération, toutefois, les dépenses approuvées, raisonnables et encourues dans le cadre de leur travail au sein du conseil consultatif leur seront remboursées, conformément à la Directive sur les frais de déplacement, de repas et d’accueil du gouvernement et d’autres directives applicables.</w:t>
      </w:r>
    </w:p>
    <w:p w:rsidR="00CF1269" w:rsidRPr="00CF1269" w:rsidRDefault="00CF1269" w:rsidP="00CF1269">
      <w:pPr>
        <w:keepNext/>
        <w:keepLines/>
        <w:widowControl/>
        <w:spacing w:before="200" w:line="276" w:lineRule="auto"/>
        <w:outlineLvl w:val="1"/>
        <w:rPr>
          <w:rFonts w:ascii="Arial" w:eastAsia="Times New Roman" w:hAnsi="Arial" w:cs="Arial"/>
          <w:b/>
          <w:bCs/>
          <w:sz w:val="26"/>
          <w:szCs w:val="26"/>
        </w:rPr>
      </w:pPr>
      <w:r w:rsidRPr="00CF1269">
        <w:rPr>
          <w:rFonts w:ascii="Arial" w:eastAsia="Times New Roman" w:hAnsi="Arial" w:cs="Arial"/>
          <w:b/>
          <w:bCs/>
          <w:sz w:val="26"/>
          <w:szCs w:val="26"/>
        </w:rPr>
        <w:t xml:space="preserve">4.4 Éthique, gouvernance et responsabilisation </w:t>
      </w:r>
    </w:p>
    <w:p w:rsidR="00CF1269" w:rsidRPr="00CF1269" w:rsidRDefault="00CF1269" w:rsidP="00CF1269">
      <w:pPr>
        <w:widowControl/>
        <w:spacing w:after="200"/>
        <w:rPr>
          <w:rFonts w:ascii="Arial" w:eastAsia="Calibri" w:hAnsi="Arial" w:cs="Arial"/>
          <w:sz w:val="24"/>
          <w:szCs w:val="24"/>
        </w:rPr>
      </w:pPr>
      <w:r w:rsidRPr="00CF1269">
        <w:rPr>
          <w:rFonts w:ascii="Arial" w:eastAsia="Calibri" w:hAnsi="Arial" w:cs="Arial"/>
          <w:sz w:val="24"/>
          <w:szCs w:val="24"/>
        </w:rPr>
        <w:t>Les membres du conseil consultatif rendent des comptes au ministre des Services gouvernementaux et des Services aux consommateurs. Le conseil consultatif fera rapport au ministre des Services gouvernementaux et des Services aux consommateurs sur ces questions et sur demande du ministre.</w:t>
      </w:r>
    </w:p>
    <w:p w:rsidR="00CF1269" w:rsidRPr="00CF1269" w:rsidRDefault="00CF1269" w:rsidP="00CF1269">
      <w:pPr>
        <w:widowControl/>
        <w:rPr>
          <w:rFonts w:ascii="Arial" w:eastAsia="Calibri" w:hAnsi="Arial" w:cs="Arial"/>
          <w:sz w:val="24"/>
          <w:szCs w:val="24"/>
        </w:rPr>
      </w:pPr>
      <w:r w:rsidRPr="00CF1269">
        <w:rPr>
          <w:rFonts w:ascii="Arial" w:eastAsia="Calibri" w:hAnsi="Arial" w:cs="Arial"/>
          <w:sz w:val="24"/>
          <w:szCs w:val="24"/>
        </w:rPr>
        <w:t>Les membres du conseil consultatif seront tenus de s’acquitter des fonctions liées à leur poste d’une manière professionnelle, éthique et compétente et d’éviter tout conflit d’intérêt réel ou apparent. En particulier, et sans restreindre la portée générale des obligations énoncées ci-dessus, un membre du conseil consultatif doit respecter les directives suivantes:</w:t>
      </w:r>
    </w:p>
    <w:p w:rsidR="00CF1269" w:rsidRPr="00CF1269" w:rsidRDefault="00CF1269" w:rsidP="00CF1269">
      <w:pPr>
        <w:widowControl/>
        <w:rPr>
          <w:rFonts w:ascii="Arial" w:eastAsia="Calibri" w:hAnsi="Arial" w:cs="Arial"/>
          <w:sz w:val="24"/>
          <w:szCs w:val="24"/>
        </w:rPr>
      </w:pPr>
    </w:p>
    <w:p w:rsidR="00CF1269" w:rsidRPr="00CF1269" w:rsidRDefault="00CF1269" w:rsidP="00CF1269">
      <w:pPr>
        <w:widowControl/>
        <w:numPr>
          <w:ilvl w:val="0"/>
          <w:numId w:val="34"/>
        </w:numPr>
        <w:spacing w:after="200" w:line="276" w:lineRule="auto"/>
        <w:rPr>
          <w:rFonts w:ascii="Arial" w:eastAsia="Calibri" w:hAnsi="Arial" w:cs="Arial"/>
          <w:sz w:val="24"/>
          <w:szCs w:val="24"/>
        </w:rPr>
      </w:pPr>
      <w:r w:rsidRPr="00CF1269">
        <w:rPr>
          <w:rFonts w:ascii="Arial" w:eastAsia="Calibri" w:hAnsi="Arial" w:cs="Arial"/>
          <w:sz w:val="24"/>
          <w:szCs w:val="24"/>
        </w:rPr>
        <w:t>ne pas utiliser ou tenter d’utiliser son titre à son avantage personnel ou à celui d’une autre personne ou entité;</w:t>
      </w:r>
    </w:p>
    <w:p w:rsidR="00CF1269" w:rsidRPr="00CF1269" w:rsidRDefault="00CF1269" w:rsidP="00CF1269">
      <w:pPr>
        <w:widowControl/>
        <w:numPr>
          <w:ilvl w:val="0"/>
          <w:numId w:val="34"/>
        </w:numPr>
        <w:spacing w:after="200" w:line="276" w:lineRule="auto"/>
        <w:rPr>
          <w:rFonts w:ascii="Arial" w:eastAsia="Calibri" w:hAnsi="Arial" w:cs="Arial"/>
          <w:sz w:val="24"/>
          <w:szCs w:val="24"/>
        </w:rPr>
      </w:pPr>
      <w:r w:rsidRPr="00CF1269">
        <w:rPr>
          <w:rFonts w:ascii="Arial" w:eastAsia="Calibri" w:hAnsi="Arial" w:cs="Arial"/>
          <w:sz w:val="24"/>
          <w:szCs w:val="24"/>
        </w:rPr>
        <w:t>ne pas prendre part aux prises de décisions ou influencer celles-ci à titre de personne nommée s’il ou elle peut tirer un avantage quelconque de ces décisions;</w:t>
      </w:r>
      <w:r w:rsidRPr="00CF1269">
        <w:rPr>
          <w:rFonts w:ascii="Calibri" w:eastAsia="Calibri" w:hAnsi="Calibri" w:cs="Times New Roman"/>
        </w:rPr>
        <w:t xml:space="preserve"> </w:t>
      </w:r>
    </w:p>
    <w:p w:rsidR="00CF1269" w:rsidRPr="00CF1269" w:rsidRDefault="00CF1269" w:rsidP="00CF1269">
      <w:pPr>
        <w:widowControl/>
        <w:numPr>
          <w:ilvl w:val="0"/>
          <w:numId w:val="34"/>
        </w:numPr>
        <w:spacing w:after="200" w:line="276" w:lineRule="auto"/>
        <w:rPr>
          <w:rFonts w:ascii="Arial" w:eastAsia="Calibri" w:hAnsi="Arial" w:cs="Arial"/>
          <w:sz w:val="24"/>
          <w:szCs w:val="24"/>
        </w:rPr>
      </w:pPr>
      <w:r w:rsidRPr="00CF1269">
        <w:rPr>
          <w:rFonts w:ascii="Arial" w:eastAsia="Calibri" w:hAnsi="Arial" w:cs="Arial"/>
          <w:sz w:val="24"/>
          <w:szCs w:val="24"/>
        </w:rPr>
        <w:t>n’accepter aucun cadeau pouvant influencer ou avoir l’apparence d’influencer la personne nommée dans l’exercice des fonctions;</w:t>
      </w:r>
    </w:p>
    <w:p w:rsidR="00CF1269" w:rsidRPr="00CF1269" w:rsidRDefault="00CF1269" w:rsidP="00CF1269">
      <w:pPr>
        <w:widowControl/>
        <w:numPr>
          <w:ilvl w:val="0"/>
          <w:numId w:val="34"/>
        </w:numPr>
        <w:spacing w:after="200" w:line="276" w:lineRule="auto"/>
        <w:rPr>
          <w:rFonts w:ascii="Arial" w:eastAsia="Calibri" w:hAnsi="Arial" w:cs="Arial"/>
          <w:sz w:val="24"/>
          <w:szCs w:val="24"/>
        </w:rPr>
      </w:pPr>
      <w:r w:rsidRPr="00CF1269">
        <w:rPr>
          <w:rFonts w:ascii="Arial" w:eastAsia="Calibri" w:hAnsi="Arial" w:cs="Arial"/>
          <w:sz w:val="24"/>
          <w:szCs w:val="24"/>
        </w:rPr>
        <w:t>ne pas utiliser ou divulguer des renseignements confidentiels, que ce soit pendant ou après son mandat, obtenus dans le cadre de ses fonctions à des fins sans lien avec ses fonctions, sauf si la loi l’exige ou si le ministre responsable ou le premier ministre l’autorise;</w:t>
      </w:r>
    </w:p>
    <w:p w:rsidR="00CF1269" w:rsidRPr="00CF1269" w:rsidRDefault="00CF1269" w:rsidP="00CF1269">
      <w:pPr>
        <w:widowControl/>
        <w:numPr>
          <w:ilvl w:val="0"/>
          <w:numId w:val="34"/>
        </w:numPr>
        <w:spacing w:after="200" w:line="276" w:lineRule="auto"/>
        <w:rPr>
          <w:rFonts w:ascii="Arial" w:eastAsia="Calibri" w:hAnsi="Arial" w:cs="Arial"/>
          <w:sz w:val="24"/>
          <w:szCs w:val="24"/>
        </w:rPr>
      </w:pPr>
      <w:r w:rsidRPr="00CF1269">
        <w:rPr>
          <w:rFonts w:ascii="Arial" w:eastAsia="Calibri" w:hAnsi="Arial" w:cs="Arial"/>
          <w:sz w:val="24"/>
          <w:szCs w:val="24"/>
        </w:rPr>
        <w:t>ne pas utiliser les locaux, l’équipement ou les fournitures de bureau du gouvernement à des fins sans lien avec son mandat;</w:t>
      </w:r>
    </w:p>
    <w:p w:rsidR="00CF1269" w:rsidRPr="00CF1269" w:rsidRDefault="00CF1269" w:rsidP="00CF1269">
      <w:pPr>
        <w:widowControl/>
        <w:numPr>
          <w:ilvl w:val="0"/>
          <w:numId w:val="34"/>
        </w:numPr>
        <w:spacing w:after="200" w:line="276" w:lineRule="auto"/>
        <w:rPr>
          <w:rFonts w:ascii="Arial" w:eastAsia="Calibri" w:hAnsi="Arial" w:cs="Arial"/>
          <w:sz w:val="24"/>
          <w:szCs w:val="24"/>
        </w:rPr>
      </w:pPr>
      <w:r w:rsidRPr="00CF1269">
        <w:rPr>
          <w:rFonts w:ascii="Arial" w:eastAsia="Calibri" w:hAnsi="Arial" w:cs="Arial"/>
          <w:sz w:val="24"/>
          <w:szCs w:val="24"/>
        </w:rPr>
        <w:t xml:space="preserve">se conformer aux exigences supplémentaires, le cas échéant, mises en place par le conseil consultatif ou par le ministre responsable ou le premier ministre. </w:t>
      </w:r>
    </w:p>
    <w:p w:rsidR="00CF1269" w:rsidRPr="00CF1269" w:rsidRDefault="00CF1269" w:rsidP="00CF1269">
      <w:pPr>
        <w:widowControl/>
        <w:rPr>
          <w:rFonts w:ascii="Arial" w:eastAsia="Calibri" w:hAnsi="Arial" w:cs="Arial"/>
          <w:sz w:val="24"/>
          <w:szCs w:val="24"/>
        </w:rPr>
      </w:pPr>
    </w:p>
    <w:p w:rsidR="00CF1269" w:rsidRPr="00CF1269" w:rsidRDefault="00CF1269" w:rsidP="00CF1269">
      <w:pPr>
        <w:widowControl/>
        <w:rPr>
          <w:rFonts w:ascii="Arial" w:eastAsia="Calibri" w:hAnsi="Arial" w:cs="Arial"/>
          <w:sz w:val="24"/>
          <w:szCs w:val="24"/>
        </w:rPr>
      </w:pPr>
      <w:r w:rsidRPr="00CF1269">
        <w:rPr>
          <w:rFonts w:ascii="Arial" w:eastAsia="Calibri" w:hAnsi="Arial" w:cs="Arial"/>
          <w:sz w:val="24"/>
          <w:szCs w:val="24"/>
        </w:rPr>
        <w:t>Les renseignements confidentiels désignent des renseignements qui ne sont pas accessibles au public.</w:t>
      </w:r>
    </w:p>
    <w:p w:rsidR="00CF1269" w:rsidRPr="00CF1269" w:rsidRDefault="00CF1269" w:rsidP="00CF1269">
      <w:pPr>
        <w:widowControl/>
        <w:rPr>
          <w:rFonts w:ascii="Arial" w:eastAsia="Calibri" w:hAnsi="Arial" w:cs="Arial"/>
          <w:sz w:val="24"/>
          <w:szCs w:val="24"/>
        </w:rPr>
      </w:pPr>
    </w:p>
    <w:p w:rsidR="00CF1269" w:rsidRPr="00CF1269" w:rsidRDefault="00CF1269" w:rsidP="00CF1269">
      <w:pPr>
        <w:widowControl/>
        <w:rPr>
          <w:rFonts w:ascii="Arial" w:eastAsia="Calibri" w:hAnsi="Arial" w:cs="Arial"/>
          <w:sz w:val="24"/>
          <w:szCs w:val="24"/>
        </w:rPr>
      </w:pPr>
      <w:r w:rsidRPr="00CF1269">
        <w:rPr>
          <w:rFonts w:ascii="Arial" w:eastAsia="Calibri" w:hAnsi="Arial" w:cs="Arial"/>
          <w:sz w:val="24"/>
          <w:szCs w:val="24"/>
        </w:rPr>
        <w:t>Les membres du conseil consultatif se conformeront aux directives et aux principes applicables du gouvernement de l’Ontario en matière d’éthique et de responsabilisation. Les membres du conseil consultatif feront une distinction entre leur travail au sein du conseil consultatif et toute autre activité menée à l’extérieur.</w:t>
      </w:r>
    </w:p>
    <w:p w:rsidR="00CF1269" w:rsidRPr="00CF1269" w:rsidRDefault="00CF1269" w:rsidP="00CF1269">
      <w:pPr>
        <w:widowControl/>
        <w:rPr>
          <w:rFonts w:ascii="Arial" w:eastAsia="Calibri" w:hAnsi="Arial" w:cs="Arial"/>
          <w:sz w:val="24"/>
          <w:szCs w:val="24"/>
        </w:rPr>
      </w:pPr>
    </w:p>
    <w:p w:rsidR="00CF1269" w:rsidRPr="00CF1269" w:rsidRDefault="00CF1269" w:rsidP="00CF1269">
      <w:pPr>
        <w:widowControl/>
        <w:spacing w:after="200"/>
        <w:rPr>
          <w:rFonts w:ascii="Arial" w:eastAsia="Calibri" w:hAnsi="Arial" w:cs="Arial"/>
          <w:sz w:val="24"/>
          <w:szCs w:val="24"/>
        </w:rPr>
      </w:pPr>
      <w:r w:rsidRPr="00CF1269">
        <w:rPr>
          <w:rFonts w:ascii="Arial" w:eastAsia="Calibri" w:hAnsi="Arial" w:cs="Arial"/>
          <w:sz w:val="24"/>
          <w:szCs w:val="24"/>
        </w:rPr>
        <w:lastRenderedPageBreak/>
        <w:t>Il incombe aux membres du conseil consultatif de détecter tout conflit d’intérêt réel ou possible pouvant survenir au cours de leur mandat. Un membre du conseil consultatif doit déclarer le plus tôt possible un intérêt personnel ou pécuniaire qui pourrait susciter des préoccupations liées aux conflits d’intérêts chez le ministre responsable ou la personne désignée par le ministre.</w:t>
      </w:r>
    </w:p>
    <w:p w:rsidR="00CF1269" w:rsidRPr="00CF1269" w:rsidRDefault="00CF1269" w:rsidP="00CF1269">
      <w:pPr>
        <w:keepNext/>
        <w:keepLines/>
        <w:widowControl/>
        <w:spacing w:before="480" w:line="276" w:lineRule="auto"/>
        <w:outlineLvl w:val="0"/>
        <w:rPr>
          <w:rFonts w:ascii="Arial" w:eastAsia="Times New Roman" w:hAnsi="Arial" w:cs="Arial"/>
          <w:b/>
          <w:bCs/>
          <w:sz w:val="28"/>
          <w:szCs w:val="28"/>
        </w:rPr>
      </w:pPr>
      <w:r w:rsidRPr="00CF1269">
        <w:rPr>
          <w:rFonts w:ascii="Arial" w:eastAsia="Times New Roman" w:hAnsi="Arial" w:cs="Arial"/>
          <w:b/>
          <w:bCs/>
          <w:sz w:val="28"/>
          <w:szCs w:val="28"/>
        </w:rPr>
        <w:t xml:space="preserve">5.0 Réunions et soutien au conseil consultatif </w:t>
      </w:r>
    </w:p>
    <w:p w:rsidR="00CF1269" w:rsidRPr="00CF1269" w:rsidRDefault="00CF1269" w:rsidP="00CF1269">
      <w:pPr>
        <w:keepNext/>
        <w:keepLines/>
        <w:widowControl/>
        <w:spacing w:before="200" w:line="276" w:lineRule="auto"/>
        <w:outlineLvl w:val="1"/>
        <w:rPr>
          <w:rFonts w:ascii="Arial" w:eastAsia="Times New Roman" w:hAnsi="Arial" w:cs="Arial"/>
          <w:b/>
          <w:bCs/>
          <w:sz w:val="26"/>
          <w:szCs w:val="26"/>
        </w:rPr>
      </w:pPr>
      <w:r w:rsidRPr="00CF1269">
        <w:rPr>
          <w:rFonts w:ascii="Arial" w:eastAsia="Times New Roman" w:hAnsi="Arial" w:cs="Arial"/>
          <w:b/>
          <w:bCs/>
          <w:sz w:val="26"/>
          <w:szCs w:val="26"/>
        </w:rPr>
        <w:t>5.1 Fréquence des réunions et emplacement</w:t>
      </w:r>
    </w:p>
    <w:p w:rsidR="00CF1269" w:rsidRPr="00CF1269" w:rsidRDefault="00CF1269" w:rsidP="00CF1269">
      <w:pPr>
        <w:widowControl/>
        <w:spacing w:after="200"/>
        <w:rPr>
          <w:rFonts w:ascii="Arial" w:eastAsia="Calibri" w:hAnsi="Arial" w:cs="Arial"/>
          <w:sz w:val="24"/>
          <w:szCs w:val="24"/>
        </w:rPr>
      </w:pPr>
      <w:r w:rsidRPr="00CF1269">
        <w:rPr>
          <w:rFonts w:ascii="Arial" w:eastAsia="Calibri" w:hAnsi="Arial" w:cs="Arial"/>
          <w:sz w:val="24"/>
          <w:szCs w:val="24"/>
        </w:rPr>
        <w:t>Le conseil consultatif se réunira périodiquement, comme le détermineront le président et le vice-président, et au moins quatre fois par année. Les délégués ne sont pas autorisés à siéger au conseil.</w:t>
      </w:r>
    </w:p>
    <w:p w:rsidR="00CF1269" w:rsidRPr="00CF1269" w:rsidRDefault="00CF1269" w:rsidP="00CF1269">
      <w:pPr>
        <w:keepNext/>
        <w:keepLines/>
        <w:widowControl/>
        <w:spacing w:before="200" w:line="276" w:lineRule="auto"/>
        <w:outlineLvl w:val="1"/>
        <w:rPr>
          <w:rFonts w:ascii="Arial" w:eastAsia="Times New Roman" w:hAnsi="Arial" w:cs="Arial"/>
          <w:b/>
          <w:bCs/>
          <w:sz w:val="26"/>
          <w:szCs w:val="26"/>
        </w:rPr>
      </w:pPr>
      <w:r w:rsidRPr="00CF1269">
        <w:rPr>
          <w:rFonts w:ascii="Arial" w:eastAsia="Times New Roman" w:hAnsi="Arial" w:cs="Arial"/>
          <w:b/>
          <w:bCs/>
          <w:sz w:val="26"/>
          <w:szCs w:val="26"/>
        </w:rPr>
        <w:t xml:space="preserve">5.2 Prise de décisions </w:t>
      </w:r>
    </w:p>
    <w:p w:rsidR="00CF1269" w:rsidRPr="00CF1269" w:rsidRDefault="00CF1269" w:rsidP="00CF1269">
      <w:pPr>
        <w:widowControl/>
        <w:spacing w:after="200"/>
        <w:rPr>
          <w:rFonts w:ascii="Arial" w:eastAsia="Calibri" w:hAnsi="Arial" w:cs="Arial"/>
          <w:b/>
          <w:sz w:val="24"/>
          <w:szCs w:val="24"/>
        </w:rPr>
      </w:pPr>
      <w:r w:rsidRPr="00CF1269">
        <w:rPr>
          <w:rFonts w:ascii="Arial" w:eastAsia="Calibri" w:hAnsi="Arial" w:cs="Arial"/>
          <w:sz w:val="24"/>
          <w:szCs w:val="24"/>
        </w:rPr>
        <w:t>Les décisions du conseil consultatif seront prises par voie de consensus.</w:t>
      </w:r>
    </w:p>
    <w:p w:rsidR="00CF1269" w:rsidRPr="00CF1269" w:rsidRDefault="00CF1269" w:rsidP="00CF1269">
      <w:pPr>
        <w:keepNext/>
        <w:keepLines/>
        <w:widowControl/>
        <w:spacing w:before="200" w:line="276" w:lineRule="auto"/>
        <w:outlineLvl w:val="1"/>
        <w:rPr>
          <w:rFonts w:ascii="Arial" w:eastAsia="Times New Roman" w:hAnsi="Arial" w:cs="Arial"/>
          <w:b/>
          <w:bCs/>
          <w:sz w:val="26"/>
          <w:szCs w:val="26"/>
        </w:rPr>
      </w:pPr>
      <w:r w:rsidRPr="00CF1269">
        <w:rPr>
          <w:rFonts w:ascii="Arial" w:eastAsia="Times New Roman" w:hAnsi="Arial" w:cs="Arial"/>
          <w:b/>
          <w:bCs/>
          <w:sz w:val="26"/>
          <w:szCs w:val="26"/>
        </w:rPr>
        <w:t xml:space="preserve">5.3 Soutien au conseil consultatif </w:t>
      </w:r>
    </w:p>
    <w:p w:rsidR="00CF1269" w:rsidRPr="00CF1269" w:rsidRDefault="00CF1269" w:rsidP="00CF1269">
      <w:pPr>
        <w:widowControl/>
        <w:spacing w:after="200"/>
        <w:rPr>
          <w:rFonts w:ascii="Calibri" w:eastAsia="Calibri" w:hAnsi="Calibri" w:cs="Times New Roman"/>
          <w:b/>
          <w:sz w:val="24"/>
          <w:szCs w:val="24"/>
        </w:rPr>
      </w:pPr>
      <w:r w:rsidRPr="00CF1269">
        <w:rPr>
          <w:rFonts w:ascii="Arial" w:eastAsia="Calibri" w:hAnsi="Arial" w:cs="Arial"/>
          <w:sz w:val="24"/>
          <w:szCs w:val="24"/>
        </w:rPr>
        <w:t>Le conseil consultatif sera appuyé par le MSGSC dans l’exercice de ses responsabilités, conformément aux directives et aux politiques du gouvernement. Le MSGSC appuiera le conseil consultatif en lui soumettant des commentaires au sujet des priorités et des processus du gouvernement, ainsi que du soutien lors des consultations internes et dans leurs efforts de mobilisation des intervenants à l’égard des recommandations du conseil consultatif.</w:t>
      </w:r>
    </w:p>
    <w:p w:rsidR="00CF1269" w:rsidRPr="00CF1269" w:rsidRDefault="00CF1269" w:rsidP="00CF1269">
      <w:pPr>
        <w:keepNext/>
        <w:keepLines/>
        <w:widowControl/>
        <w:spacing w:before="480" w:line="276" w:lineRule="auto"/>
        <w:outlineLvl w:val="0"/>
        <w:rPr>
          <w:rFonts w:ascii="Arial" w:eastAsia="Times New Roman" w:hAnsi="Arial" w:cs="Arial"/>
          <w:b/>
          <w:bCs/>
          <w:sz w:val="28"/>
          <w:szCs w:val="28"/>
        </w:rPr>
      </w:pPr>
      <w:r w:rsidRPr="00CF1269">
        <w:rPr>
          <w:rFonts w:ascii="Arial" w:eastAsia="Times New Roman" w:hAnsi="Arial" w:cs="Arial"/>
          <w:b/>
          <w:bCs/>
          <w:sz w:val="28"/>
          <w:szCs w:val="28"/>
        </w:rPr>
        <w:t>6.0 Comités d’experts en la matière ad hoc</w:t>
      </w:r>
    </w:p>
    <w:p w:rsidR="00CF1269" w:rsidRPr="00CF1269" w:rsidRDefault="00CF1269" w:rsidP="00CF1269">
      <w:pPr>
        <w:widowControl/>
        <w:rPr>
          <w:rFonts w:ascii="Arial" w:eastAsia="Calibri" w:hAnsi="Arial" w:cs="Arial"/>
        </w:rPr>
      </w:pPr>
    </w:p>
    <w:p w:rsidR="00CF1269" w:rsidRPr="00CF1269" w:rsidRDefault="00CF1269" w:rsidP="00CF1269">
      <w:pPr>
        <w:widowControl/>
        <w:rPr>
          <w:rFonts w:ascii="Arial" w:eastAsia="Calibri" w:hAnsi="Arial" w:cs="Arial"/>
          <w:sz w:val="24"/>
          <w:szCs w:val="24"/>
        </w:rPr>
      </w:pPr>
      <w:r w:rsidRPr="00CF1269">
        <w:rPr>
          <w:rFonts w:ascii="Arial" w:eastAsia="Calibri" w:hAnsi="Arial" w:cs="Arial"/>
          <w:sz w:val="24"/>
          <w:szCs w:val="24"/>
        </w:rPr>
        <w:t>En plus de la nécessité de reconnaître les rôles clés joués par les ministères du secteur des affaires de l’Ontario, et de la nécessité d’obtenir l’expertise du secteur, le président et le vice-président peuvent désigner des personnes ou des organisations à titre d’experts en la matière ad hoc ou de comités d’experts en la matière ad hoc afin qu’elles assistent, en totalité ou en partie, à une ou plusieurs réunions du conseil consultatif et qu’elles fournissent des renseignements et contribuent à l’élaboration de recommandations relatives à des questions précises.</w:t>
      </w:r>
    </w:p>
    <w:p w:rsidR="00CF1269" w:rsidRPr="00CF1269" w:rsidRDefault="00CF1269" w:rsidP="00CF1269">
      <w:pPr>
        <w:keepNext/>
        <w:keepLines/>
        <w:widowControl/>
        <w:spacing w:before="200" w:line="276" w:lineRule="auto"/>
        <w:outlineLvl w:val="1"/>
        <w:rPr>
          <w:rFonts w:ascii="Arial" w:eastAsia="Times New Roman" w:hAnsi="Arial" w:cs="Arial"/>
          <w:b/>
          <w:bCs/>
          <w:sz w:val="26"/>
          <w:szCs w:val="26"/>
        </w:rPr>
      </w:pPr>
      <w:r w:rsidRPr="00CF1269">
        <w:rPr>
          <w:rFonts w:ascii="Arial" w:eastAsia="Times New Roman" w:hAnsi="Arial" w:cs="Arial"/>
          <w:b/>
          <w:bCs/>
          <w:sz w:val="26"/>
          <w:szCs w:val="26"/>
        </w:rPr>
        <w:t xml:space="preserve">6.1 Rôles et responsabilités </w:t>
      </w:r>
    </w:p>
    <w:p w:rsidR="00CF1269" w:rsidRPr="00CF1269" w:rsidRDefault="00CF1269" w:rsidP="00CF1269">
      <w:pPr>
        <w:widowControl/>
        <w:rPr>
          <w:rFonts w:ascii="Arial" w:eastAsia="Calibri" w:hAnsi="Arial" w:cs="Arial"/>
          <w:sz w:val="24"/>
          <w:szCs w:val="24"/>
        </w:rPr>
      </w:pPr>
      <w:r w:rsidRPr="00CF1269">
        <w:rPr>
          <w:rFonts w:ascii="Arial" w:eastAsia="Calibri" w:hAnsi="Arial" w:cs="Arial"/>
          <w:sz w:val="24"/>
          <w:szCs w:val="24"/>
        </w:rPr>
        <w:t>Les rôles et les responsabilités des experts en la matière ad hoc sont les suivants :</w:t>
      </w:r>
    </w:p>
    <w:p w:rsidR="00CF1269" w:rsidRPr="00CF1269" w:rsidRDefault="00CF1269" w:rsidP="00CF1269">
      <w:pPr>
        <w:widowControl/>
        <w:rPr>
          <w:rFonts w:ascii="Arial" w:eastAsia="Calibri" w:hAnsi="Arial" w:cs="Arial"/>
          <w:sz w:val="24"/>
          <w:szCs w:val="24"/>
        </w:rPr>
      </w:pPr>
    </w:p>
    <w:p w:rsidR="00CF1269" w:rsidRPr="00CF1269" w:rsidRDefault="00CF1269" w:rsidP="00CF1269">
      <w:pPr>
        <w:widowControl/>
        <w:numPr>
          <w:ilvl w:val="0"/>
          <w:numId w:val="30"/>
        </w:numPr>
        <w:spacing w:after="200" w:line="276" w:lineRule="auto"/>
        <w:contextualSpacing/>
        <w:rPr>
          <w:rFonts w:ascii="Arial" w:eastAsia="Times New Roman" w:hAnsi="Arial" w:cs="Arial"/>
          <w:sz w:val="24"/>
          <w:szCs w:val="24"/>
        </w:rPr>
      </w:pPr>
      <w:r w:rsidRPr="00CF1269">
        <w:rPr>
          <w:rFonts w:ascii="Arial" w:eastAsia="Times New Roman" w:hAnsi="Arial" w:cs="Arial"/>
          <w:sz w:val="24"/>
          <w:szCs w:val="24"/>
        </w:rPr>
        <w:t>recevoir les ordres du jour et les documents de réunion du conseil consultatif, en fonction des besoins;</w:t>
      </w:r>
    </w:p>
    <w:p w:rsidR="00CF1269" w:rsidRPr="00CF1269" w:rsidRDefault="00CF1269" w:rsidP="00CF1269">
      <w:pPr>
        <w:widowControl/>
        <w:ind w:left="720"/>
        <w:contextualSpacing/>
        <w:rPr>
          <w:rFonts w:ascii="Arial" w:eastAsia="Times New Roman" w:hAnsi="Arial" w:cs="Arial"/>
          <w:sz w:val="24"/>
          <w:szCs w:val="24"/>
        </w:rPr>
      </w:pPr>
    </w:p>
    <w:p w:rsidR="00CF1269" w:rsidRPr="00CF1269" w:rsidRDefault="00CF1269" w:rsidP="00CF1269">
      <w:pPr>
        <w:widowControl/>
        <w:numPr>
          <w:ilvl w:val="0"/>
          <w:numId w:val="30"/>
        </w:numPr>
        <w:spacing w:after="200" w:line="276" w:lineRule="auto"/>
        <w:contextualSpacing/>
        <w:rPr>
          <w:rFonts w:ascii="Arial" w:eastAsia="Times New Roman" w:hAnsi="Arial" w:cs="Arial"/>
          <w:sz w:val="24"/>
          <w:szCs w:val="24"/>
        </w:rPr>
      </w:pPr>
      <w:r w:rsidRPr="00CF1269">
        <w:rPr>
          <w:rFonts w:ascii="Arial" w:eastAsia="Times New Roman" w:hAnsi="Arial" w:cs="Arial"/>
          <w:sz w:val="24"/>
          <w:szCs w:val="24"/>
        </w:rPr>
        <w:t>déterminer les sujets d’intérêt devant faire l’objet d’une discussion aux réunions du conseil consultatif;</w:t>
      </w:r>
    </w:p>
    <w:p w:rsidR="00CF1269" w:rsidRPr="00CF1269" w:rsidRDefault="00CF1269" w:rsidP="00CF1269">
      <w:pPr>
        <w:widowControl/>
        <w:ind w:left="720"/>
        <w:contextualSpacing/>
        <w:rPr>
          <w:rFonts w:ascii="Arial" w:eastAsia="Times New Roman" w:hAnsi="Arial" w:cs="Arial"/>
          <w:sz w:val="24"/>
          <w:szCs w:val="24"/>
        </w:rPr>
      </w:pPr>
      <w:r w:rsidRPr="00CF1269">
        <w:rPr>
          <w:rFonts w:ascii="Arial" w:eastAsia="Times New Roman" w:hAnsi="Arial" w:cs="Arial"/>
          <w:sz w:val="24"/>
          <w:szCs w:val="24"/>
        </w:rPr>
        <w:t xml:space="preserve"> </w:t>
      </w:r>
    </w:p>
    <w:p w:rsidR="00CF1269" w:rsidRPr="00CF1269" w:rsidRDefault="00CF1269" w:rsidP="00CF1269">
      <w:pPr>
        <w:widowControl/>
        <w:numPr>
          <w:ilvl w:val="0"/>
          <w:numId w:val="30"/>
        </w:numPr>
        <w:spacing w:after="200" w:line="276" w:lineRule="auto"/>
        <w:contextualSpacing/>
        <w:rPr>
          <w:rFonts w:ascii="Arial" w:eastAsia="Times New Roman" w:hAnsi="Arial" w:cs="Arial"/>
          <w:sz w:val="24"/>
          <w:szCs w:val="24"/>
        </w:rPr>
      </w:pPr>
      <w:r w:rsidRPr="00CF1269">
        <w:rPr>
          <w:rFonts w:ascii="Arial" w:eastAsia="Times New Roman" w:hAnsi="Arial" w:cs="Arial"/>
          <w:sz w:val="24"/>
          <w:szCs w:val="24"/>
        </w:rPr>
        <w:t>fournir des présentations, des documents et des commentaires au conseil consultatif.</w:t>
      </w:r>
    </w:p>
    <w:p w:rsidR="00CF1269" w:rsidRPr="00CF1269" w:rsidRDefault="00CF1269" w:rsidP="00CF1269">
      <w:pPr>
        <w:keepNext/>
        <w:keepLines/>
        <w:widowControl/>
        <w:spacing w:before="200" w:line="276" w:lineRule="auto"/>
        <w:outlineLvl w:val="1"/>
        <w:rPr>
          <w:rFonts w:ascii="Arial" w:eastAsia="Times New Roman" w:hAnsi="Arial" w:cs="Arial"/>
          <w:b/>
          <w:bCs/>
          <w:sz w:val="26"/>
          <w:szCs w:val="26"/>
        </w:rPr>
      </w:pPr>
      <w:r w:rsidRPr="00CF1269">
        <w:rPr>
          <w:rFonts w:ascii="Arial" w:eastAsia="Times New Roman" w:hAnsi="Arial" w:cs="Arial"/>
          <w:b/>
          <w:bCs/>
          <w:sz w:val="26"/>
          <w:szCs w:val="26"/>
        </w:rPr>
        <w:lastRenderedPageBreak/>
        <w:t>6.2 Confidentialité</w:t>
      </w:r>
    </w:p>
    <w:p w:rsidR="00CF1269" w:rsidRPr="00CF1269" w:rsidRDefault="00CF1269" w:rsidP="00CF1269">
      <w:pPr>
        <w:widowControl/>
        <w:spacing w:after="200"/>
        <w:rPr>
          <w:rFonts w:ascii="Arial" w:eastAsia="Calibri" w:hAnsi="Arial" w:cs="Arial"/>
          <w:sz w:val="24"/>
          <w:szCs w:val="24"/>
        </w:rPr>
      </w:pPr>
      <w:r w:rsidRPr="00CF1269">
        <w:rPr>
          <w:rFonts w:ascii="Arial" w:eastAsia="Calibri" w:hAnsi="Arial" w:cs="Arial"/>
          <w:sz w:val="24"/>
          <w:szCs w:val="24"/>
        </w:rPr>
        <w:t>Les experts en la matière ad hoc sont soumis aux dispositions relatives à la confidentialité énoncées aux paragraphes 4 et 6 de la section 4.4 ci-dessus.</w:t>
      </w:r>
    </w:p>
    <w:p w:rsidR="00047FAE" w:rsidRDefault="00047FAE">
      <w:pPr>
        <w:jc w:val="both"/>
        <w:sectPr w:rsidR="00047FAE">
          <w:headerReference w:type="default" r:id="rId13"/>
          <w:pgSz w:w="12240" w:h="15840"/>
          <w:pgMar w:top="980" w:right="1320" w:bottom="920" w:left="1320" w:header="743" w:footer="731" w:gutter="0"/>
          <w:cols w:space="720"/>
        </w:sectPr>
      </w:pPr>
    </w:p>
    <w:p w:rsidR="00047FAE" w:rsidRDefault="00DB4896">
      <w:pPr>
        <w:spacing w:before="75"/>
        <w:ind w:left="4120" w:right="4119"/>
        <w:jc w:val="center"/>
        <w:rPr>
          <w:rFonts w:ascii="Arial" w:eastAsia="Arial" w:hAnsi="Arial" w:cs="Arial"/>
          <w:sz w:val="24"/>
          <w:szCs w:val="24"/>
        </w:rPr>
      </w:pPr>
      <w:bookmarkStart w:id="74" w:name="Schedule_C_Statutes"/>
      <w:bookmarkStart w:id="75" w:name="_bookmark10"/>
      <w:bookmarkEnd w:id="74"/>
      <w:bookmarkEnd w:id="75"/>
      <w:r>
        <w:rPr>
          <w:rFonts w:ascii="Arial" w:eastAsia="Arial" w:hAnsi="Arial" w:cs="Arial"/>
          <w:b/>
          <w:bCs/>
          <w:sz w:val="24"/>
          <w:szCs w:val="24"/>
        </w:rPr>
        <w:lastRenderedPageBreak/>
        <w:t xml:space="preserve">ANNEXE </w:t>
      </w:r>
      <w:r w:rsidR="007309FF">
        <w:rPr>
          <w:rFonts w:ascii="Arial" w:eastAsia="Arial" w:hAnsi="Arial" w:cs="Arial"/>
          <w:b/>
          <w:bCs/>
          <w:sz w:val="24"/>
          <w:szCs w:val="24"/>
        </w:rPr>
        <w:t xml:space="preserve">C </w:t>
      </w:r>
      <w:r>
        <w:rPr>
          <w:rFonts w:ascii="Arial" w:eastAsia="Arial" w:hAnsi="Arial" w:cs="Arial"/>
          <w:b/>
          <w:bCs/>
          <w:sz w:val="24"/>
          <w:szCs w:val="24"/>
        </w:rPr>
        <w:t>LOIS</w:t>
      </w:r>
    </w:p>
    <w:p w:rsidR="00047FAE" w:rsidRDefault="00047FAE">
      <w:pPr>
        <w:spacing w:line="240" w:lineRule="exact"/>
        <w:rPr>
          <w:sz w:val="24"/>
          <w:szCs w:val="24"/>
        </w:rPr>
      </w:pPr>
    </w:p>
    <w:p w:rsidR="00047FAE" w:rsidRDefault="00DB4896">
      <w:pPr>
        <w:pStyle w:val="BodyText"/>
        <w:ind w:left="220" w:right="220"/>
      </w:pPr>
      <w:r>
        <w:rPr>
          <w:spacing w:val="2"/>
        </w:rPr>
        <w:t>L</w:t>
      </w:r>
      <w:r w:rsidR="007309FF">
        <w:t>e</w:t>
      </w:r>
      <w:r w:rsidR="00A04950">
        <w:t xml:space="preserve"> </w:t>
      </w:r>
      <w:r w:rsidR="007309FF">
        <w:t>tab</w:t>
      </w:r>
      <w:r w:rsidR="007309FF">
        <w:rPr>
          <w:spacing w:val="-1"/>
        </w:rPr>
        <w:t>l</w:t>
      </w:r>
      <w:r w:rsidR="007309FF">
        <w:t>e</w:t>
      </w:r>
      <w:r>
        <w:t xml:space="preserve">au ci-dessous énumère les </w:t>
      </w:r>
      <w:r w:rsidR="007309FF">
        <w:t>19</w:t>
      </w:r>
      <w:r w:rsidR="00A04950">
        <w:t xml:space="preserve"> </w:t>
      </w:r>
      <w:r>
        <w:rPr>
          <w:spacing w:val="4"/>
        </w:rPr>
        <w:t xml:space="preserve">lois qui </w:t>
      </w:r>
      <w:r w:rsidR="00F30E82">
        <w:rPr>
          <w:spacing w:val="4"/>
        </w:rPr>
        <w:t xml:space="preserve">servent de cadre </w:t>
      </w:r>
      <w:r w:rsidR="008E1B0E">
        <w:rPr>
          <w:spacing w:val="4"/>
        </w:rPr>
        <w:t>législatif</w:t>
      </w:r>
      <w:r w:rsidR="00F30E82">
        <w:rPr>
          <w:spacing w:val="4"/>
        </w:rPr>
        <w:t xml:space="preserve"> aux loi</w:t>
      </w:r>
      <w:r w:rsidR="008E1B0E">
        <w:rPr>
          <w:spacing w:val="4"/>
        </w:rPr>
        <w:t>s</w:t>
      </w:r>
      <w:r w:rsidR="00F30E82">
        <w:rPr>
          <w:spacing w:val="4"/>
        </w:rPr>
        <w:t xml:space="preserve"> régissant les sociétés, les entreprises et les transactions commerciales</w:t>
      </w:r>
      <w:r w:rsidR="007309FF">
        <w:t>.</w:t>
      </w:r>
    </w:p>
    <w:p w:rsidR="00047FAE" w:rsidRDefault="00047FAE">
      <w:pPr>
        <w:spacing w:before="3" w:line="240" w:lineRule="exact"/>
        <w:rPr>
          <w:sz w:val="24"/>
          <w:szCs w:val="24"/>
        </w:rPr>
      </w:pPr>
    </w:p>
    <w:tbl>
      <w:tblPr>
        <w:tblStyle w:val="TableNormal1"/>
        <w:tblW w:w="0" w:type="auto"/>
        <w:tblInd w:w="106" w:type="dxa"/>
        <w:tblLayout w:type="fixed"/>
        <w:tblLook w:val="01E0" w:firstRow="1" w:lastRow="1" w:firstColumn="1" w:lastColumn="1" w:noHBand="0" w:noVBand="0"/>
        <w:tblCaption w:val="Annexe C - LOIS"/>
        <w:tblDescription w:val="Le tableau ci-dessous énumère les 19 lois qui servent de cadre législatif aux lois régissant les sociétés, les entreprises et les transactions commerciales."/>
      </w:tblPr>
      <w:tblGrid>
        <w:gridCol w:w="2767"/>
        <w:gridCol w:w="6809"/>
      </w:tblGrid>
      <w:tr w:rsidR="00047FAE" w:rsidTr="007A09EB">
        <w:trPr>
          <w:trHeight w:hRule="exact" w:val="838"/>
          <w:tblHeader/>
        </w:trPr>
        <w:tc>
          <w:tcPr>
            <w:tcW w:w="2767" w:type="dxa"/>
            <w:tcBorders>
              <w:top w:val="single" w:sz="5" w:space="0" w:color="000000"/>
              <w:left w:val="single" w:sz="5" w:space="0" w:color="000000"/>
              <w:bottom w:val="single" w:sz="5" w:space="0" w:color="000000"/>
              <w:right w:val="single" w:sz="5" w:space="0" w:color="000000"/>
            </w:tcBorders>
            <w:shd w:val="clear" w:color="auto" w:fill="F2F2F2"/>
          </w:tcPr>
          <w:p w:rsidR="00047FAE" w:rsidRDefault="00F30E82" w:rsidP="00F30E82">
            <w:pPr>
              <w:pStyle w:val="TableParagraph"/>
              <w:spacing w:line="271" w:lineRule="exact"/>
              <w:ind w:left="102"/>
              <w:rPr>
                <w:rFonts w:ascii="Arial" w:eastAsia="Arial" w:hAnsi="Arial" w:cs="Arial"/>
                <w:sz w:val="24"/>
                <w:szCs w:val="24"/>
              </w:rPr>
            </w:pPr>
            <w:r>
              <w:rPr>
                <w:rFonts w:ascii="Arial" w:eastAsia="Arial" w:hAnsi="Arial" w:cs="Arial"/>
                <w:b/>
                <w:bCs/>
                <w:spacing w:val="-1"/>
                <w:sz w:val="24"/>
                <w:szCs w:val="24"/>
              </w:rPr>
              <w:t>Loi sur le commerce</w:t>
            </w:r>
          </w:p>
        </w:tc>
        <w:tc>
          <w:tcPr>
            <w:tcW w:w="6809" w:type="dxa"/>
            <w:tcBorders>
              <w:top w:val="single" w:sz="5" w:space="0" w:color="000000"/>
              <w:left w:val="single" w:sz="5" w:space="0" w:color="000000"/>
              <w:bottom w:val="single" w:sz="5" w:space="0" w:color="000000"/>
              <w:right w:val="single" w:sz="5" w:space="0" w:color="000000"/>
            </w:tcBorders>
            <w:shd w:val="clear" w:color="auto" w:fill="F2F2F2"/>
          </w:tcPr>
          <w:p w:rsidR="00047FAE" w:rsidRDefault="007309FF">
            <w:pPr>
              <w:pStyle w:val="TableParagraph"/>
              <w:spacing w:line="271" w:lineRule="exact"/>
              <w:jc w:val="center"/>
              <w:rPr>
                <w:rFonts w:ascii="Arial" w:eastAsia="Arial" w:hAnsi="Arial" w:cs="Arial"/>
                <w:sz w:val="24"/>
                <w:szCs w:val="24"/>
              </w:rPr>
            </w:pPr>
            <w:r>
              <w:rPr>
                <w:rFonts w:ascii="Arial" w:eastAsia="Arial" w:hAnsi="Arial" w:cs="Arial"/>
                <w:b/>
                <w:bCs/>
                <w:spacing w:val="-1"/>
                <w:sz w:val="24"/>
                <w:szCs w:val="24"/>
              </w:rPr>
              <w:t>D</w:t>
            </w:r>
            <w:r>
              <w:rPr>
                <w:rFonts w:ascii="Arial" w:eastAsia="Arial" w:hAnsi="Arial" w:cs="Arial"/>
                <w:b/>
                <w:bCs/>
                <w:sz w:val="24"/>
                <w:szCs w:val="24"/>
              </w:rPr>
              <w:t>escri</w:t>
            </w:r>
            <w:r>
              <w:rPr>
                <w:rFonts w:ascii="Arial" w:eastAsia="Arial" w:hAnsi="Arial" w:cs="Arial"/>
                <w:b/>
                <w:bCs/>
                <w:spacing w:val="-1"/>
                <w:sz w:val="24"/>
                <w:szCs w:val="24"/>
              </w:rPr>
              <w:t>pt</w:t>
            </w:r>
            <w:r>
              <w:rPr>
                <w:rFonts w:ascii="Arial" w:eastAsia="Arial" w:hAnsi="Arial" w:cs="Arial"/>
                <w:b/>
                <w:bCs/>
                <w:sz w:val="24"/>
                <w:szCs w:val="24"/>
              </w:rPr>
              <w:t>i</w:t>
            </w:r>
            <w:r>
              <w:rPr>
                <w:rFonts w:ascii="Arial" w:eastAsia="Arial" w:hAnsi="Arial" w:cs="Arial"/>
                <w:b/>
                <w:bCs/>
                <w:spacing w:val="-1"/>
                <w:sz w:val="24"/>
                <w:szCs w:val="24"/>
              </w:rPr>
              <w:t>o</w:t>
            </w:r>
            <w:r>
              <w:rPr>
                <w:rFonts w:ascii="Arial" w:eastAsia="Arial" w:hAnsi="Arial" w:cs="Arial"/>
                <w:b/>
                <w:bCs/>
                <w:sz w:val="24"/>
                <w:szCs w:val="24"/>
              </w:rPr>
              <w:t>n</w:t>
            </w:r>
          </w:p>
        </w:tc>
      </w:tr>
      <w:tr w:rsidR="00047FAE" w:rsidTr="007A09EB">
        <w:trPr>
          <w:trHeight w:hRule="exact" w:val="854"/>
        </w:trPr>
        <w:tc>
          <w:tcPr>
            <w:tcW w:w="2767" w:type="dxa"/>
            <w:tcBorders>
              <w:top w:val="single" w:sz="5" w:space="0" w:color="000000"/>
              <w:left w:val="single" w:sz="5" w:space="0" w:color="000000"/>
              <w:bottom w:val="single" w:sz="5" w:space="0" w:color="000000"/>
              <w:right w:val="single" w:sz="5" w:space="0" w:color="000000"/>
            </w:tcBorders>
          </w:tcPr>
          <w:p w:rsidR="00047FAE" w:rsidRPr="00F30E82" w:rsidRDefault="007309FF" w:rsidP="00F30E82">
            <w:pPr>
              <w:pStyle w:val="TableParagraph"/>
              <w:spacing w:line="271" w:lineRule="exact"/>
              <w:ind w:left="102"/>
              <w:rPr>
                <w:rFonts w:ascii="Arial" w:eastAsia="Arial" w:hAnsi="Arial" w:cs="Arial"/>
              </w:rPr>
            </w:pPr>
            <w:r w:rsidRPr="00F30E82">
              <w:rPr>
                <w:rFonts w:ascii="Arial" w:eastAsia="Arial" w:hAnsi="Arial" w:cs="Arial"/>
              </w:rPr>
              <w:t xml:space="preserve">1.  </w:t>
            </w:r>
            <w:r w:rsidR="00F30E82" w:rsidRPr="00F30E82">
              <w:rPr>
                <w:rFonts w:ascii="Arial" w:eastAsia="Arial" w:hAnsi="Arial" w:cs="Arial"/>
              </w:rPr>
              <w:t>Loi sur la réparation des paiements périodiques</w:t>
            </w:r>
          </w:p>
        </w:tc>
        <w:tc>
          <w:tcPr>
            <w:tcW w:w="6809" w:type="dxa"/>
            <w:tcBorders>
              <w:top w:val="single" w:sz="5" w:space="0" w:color="000000"/>
              <w:left w:val="single" w:sz="5" w:space="0" w:color="000000"/>
              <w:bottom w:val="single" w:sz="5" w:space="0" w:color="000000"/>
              <w:right w:val="single" w:sz="5" w:space="0" w:color="000000"/>
            </w:tcBorders>
          </w:tcPr>
          <w:p w:rsidR="00047FAE" w:rsidRDefault="00F30E82" w:rsidP="00F30E82">
            <w:pPr>
              <w:pStyle w:val="ListParagraph"/>
              <w:numPr>
                <w:ilvl w:val="0"/>
                <w:numId w:val="19"/>
              </w:numPr>
              <w:tabs>
                <w:tab w:val="left" w:pos="462"/>
              </w:tabs>
              <w:spacing w:before="11"/>
              <w:ind w:left="462" w:right="100"/>
              <w:rPr>
                <w:rFonts w:ascii="Arial" w:eastAsia="Arial" w:hAnsi="Arial" w:cs="Arial"/>
                <w:sz w:val="24"/>
                <w:szCs w:val="24"/>
              </w:rPr>
            </w:pPr>
            <w:r>
              <w:rPr>
                <w:rFonts w:ascii="Arial" w:eastAsia="Arial" w:hAnsi="Arial" w:cs="Arial"/>
                <w:sz w:val="24"/>
                <w:szCs w:val="24"/>
              </w:rPr>
              <w:t>Prévoit l’</w:t>
            </w:r>
            <w:r w:rsidR="007309FF">
              <w:rPr>
                <w:rFonts w:ascii="Arial" w:eastAsia="Arial" w:hAnsi="Arial" w:cs="Arial"/>
                <w:sz w:val="24"/>
                <w:szCs w:val="24"/>
              </w:rPr>
              <w:t>ac</w:t>
            </w:r>
            <w:r w:rsidR="007309FF">
              <w:rPr>
                <w:rFonts w:ascii="Arial" w:eastAsia="Arial" w:hAnsi="Arial" w:cs="Arial"/>
                <w:spacing w:val="-3"/>
                <w:sz w:val="24"/>
                <w:szCs w:val="24"/>
              </w:rPr>
              <w:t>c</w:t>
            </w:r>
            <w:r w:rsidR="007309FF">
              <w:rPr>
                <w:rFonts w:ascii="Arial" w:eastAsia="Arial" w:hAnsi="Arial" w:cs="Arial"/>
                <w:sz w:val="24"/>
                <w:szCs w:val="24"/>
              </w:rPr>
              <w:t>u</w:t>
            </w:r>
            <w:r w:rsidR="007309FF">
              <w:rPr>
                <w:rFonts w:ascii="Arial" w:eastAsia="Arial" w:hAnsi="Arial" w:cs="Arial"/>
                <w:spacing w:val="1"/>
                <w:sz w:val="24"/>
                <w:szCs w:val="24"/>
              </w:rPr>
              <w:t>m</w:t>
            </w:r>
            <w:r w:rsidR="007309FF">
              <w:rPr>
                <w:rFonts w:ascii="Arial" w:eastAsia="Arial" w:hAnsi="Arial" w:cs="Arial"/>
                <w:sz w:val="24"/>
                <w:szCs w:val="24"/>
              </w:rPr>
              <w:t>u</w:t>
            </w:r>
            <w:r w:rsidR="007309FF">
              <w:rPr>
                <w:rFonts w:ascii="Arial" w:eastAsia="Arial" w:hAnsi="Arial" w:cs="Arial"/>
                <w:spacing w:val="-3"/>
                <w:sz w:val="24"/>
                <w:szCs w:val="24"/>
              </w:rPr>
              <w:t>l</w:t>
            </w:r>
            <w:r w:rsidR="007309FF">
              <w:rPr>
                <w:rFonts w:ascii="Arial" w:eastAsia="Arial" w:hAnsi="Arial" w:cs="Arial"/>
                <w:sz w:val="24"/>
                <w:szCs w:val="24"/>
              </w:rPr>
              <w:t>at</w:t>
            </w:r>
            <w:r w:rsidR="007309FF">
              <w:rPr>
                <w:rFonts w:ascii="Arial" w:eastAsia="Arial" w:hAnsi="Arial" w:cs="Arial"/>
                <w:spacing w:val="-1"/>
                <w:sz w:val="24"/>
                <w:szCs w:val="24"/>
              </w:rPr>
              <w:t>i</w:t>
            </w:r>
            <w:r w:rsidR="007309FF">
              <w:rPr>
                <w:rFonts w:ascii="Arial" w:eastAsia="Arial" w:hAnsi="Arial" w:cs="Arial"/>
                <w:sz w:val="24"/>
                <w:szCs w:val="24"/>
              </w:rPr>
              <w:t>on</w:t>
            </w:r>
            <w:r w:rsidR="00A04950">
              <w:rPr>
                <w:rFonts w:ascii="Arial" w:eastAsia="Arial" w:hAnsi="Arial" w:cs="Arial"/>
                <w:sz w:val="24"/>
                <w:szCs w:val="24"/>
              </w:rPr>
              <w:t xml:space="preserve"> </w:t>
            </w:r>
            <w:r>
              <w:rPr>
                <w:rFonts w:ascii="Arial" w:eastAsia="Arial" w:hAnsi="Arial" w:cs="Arial"/>
                <w:spacing w:val="6"/>
                <w:sz w:val="24"/>
                <w:szCs w:val="24"/>
              </w:rPr>
              <w:t>des</w:t>
            </w:r>
            <w:r w:rsidR="007309FF">
              <w:rPr>
                <w:rFonts w:ascii="Arial" w:eastAsia="Arial" w:hAnsi="Arial" w:cs="Arial"/>
                <w:spacing w:val="11"/>
                <w:sz w:val="24"/>
                <w:szCs w:val="24"/>
              </w:rPr>
              <w:t xml:space="preserve"> </w:t>
            </w:r>
            <w:r w:rsidR="007309FF">
              <w:rPr>
                <w:rFonts w:ascii="Arial" w:eastAsia="Arial" w:hAnsi="Arial" w:cs="Arial"/>
                <w:sz w:val="24"/>
                <w:szCs w:val="24"/>
              </w:rPr>
              <w:t>pa</w:t>
            </w:r>
            <w:r>
              <w:rPr>
                <w:rFonts w:ascii="Arial" w:eastAsia="Arial" w:hAnsi="Arial" w:cs="Arial"/>
                <w:sz w:val="24"/>
                <w:szCs w:val="24"/>
              </w:rPr>
              <w:t>ie</w:t>
            </w:r>
            <w:r w:rsidR="007309FF">
              <w:rPr>
                <w:rFonts w:ascii="Arial" w:eastAsia="Arial" w:hAnsi="Arial" w:cs="Arial"/>
                <w:spacing w:val="1"/>
                <w:sz w:val="24"/>
                <w:szCs w:val="24"/>
              </w:rPr>
              <w:t>m</w:t>
            </w:r>
            <w:r w:rsidR="007309FF">
              <w:rPr>
                <w:rFonts w:ascii="Arial" w:eastAsia="Arial" w:hAnsi="Arial" w:cs="Arial"/>
                <w:spacing w:val="-2"/>
                <w:sz w:val="24"/>
                <w:szCs w:val="24"/>
              </w:rPr>
              <w:t>e</w:t>
            </w:r>
            <w:r w:rsidR="007309FF">
              <w:rPr>
                <w:rFonts w:ascii="Arial" w:eastAsia="Arial" w:hAnsi="Arial" w:cs="Arial"/>
                <w:sz w:val="24"/>
                <w:szCs w:val="24"/>
              </w:rPr>
              <w:t>n</w:t>
            </w:r>
            <w:r w:rsidR="007309FF">
              <w:rPr>
                <w:rFonts w:ascii="Arial" w:eastAsia="Arial" w:hAnsi="Arial" w:cs="Arial"/>
                <w:spacing w:val="-2"/>
                <w:sz w:val="24"/>
                <w:szCs w:val="24"/>
              </w:rPr>
              <w:t>t</w:t>
            </w:r>
            <w:r w:rsidR="007309FF">
              <w:rPr>
                <w:rFonts w:ascii="Arial" w:eastAsia="Arial" w:hAnsi="Arial" w:cs="Arial"/>
                <w:sz w:val="24"/>
                <w:szCs w:val="24"/>
              </w:rPr>
              <w:t xml:space="preserve">s </w:t>
            </w:r>
            <w:r>
              <w:rPr>
                <w:rFonts w:ascii="Arial" w:eastAsia="Arial" w:hAnsi="Arial" w:cs="Arial"/>
                <w:sz w:val="24"/>
                <w:szCs w:val="24"/>
              </w:rPr>
              <w:t>comme les dividendes, les</w:t>
            </w:r>
            <w:r w:rsidR="007309FF">
              <w:rPr>
                <w:rFonts w:ascii="Arial" w:eastAsia="Arial" w:hAnsi="Arial" w:cs="Arial"/>
                <w:spacing w:val="8"/>
                <w:sz w:val="24"/>
                <w:szCs w:val="24"/>
              </w:rPr>
              <w:t xml:space="preserve"> </w:t>
            </w:r>
            <w:r>
              <w:rPr>
                <w:rFonts w:ascii="Arial" w:eastAsia="Arial" w:hAnsi="Arial" w:cs="Arial"/>
                <w:spacing w:val="8"/>
                <w:sz w:val="24"/>
                <w:szCs w:val="24"/>
              </w:rPr>
              <w:t>rentes ou les pensions</w:t>
            </w:r>
          </w:p>
        </w:tc>
      </w:tr>
      <w:tr w:rsidR="00047FAE" w:rsidTr="007A09EB">
        <w:trPr>
          <w:trHeight w:hRule="exact" w:val="3938"/>
        </w:trPr>
        <w:tc>
          <w:tcPr>
            <w:tcW w:w="2767" w:type="dxa"/>
            <w:tcBorders>
              <w:top w:val="single" w:sz="5" w:space="0" w:color="000000"/>
              <w:left w:val="single" w:sz="5" w:space="0" w:color="000000"/>
              <w:bottom w:val="single" w:sz="5" w:space="0" w:color="000000"/>
              <w:right w:val="single" w:sz="5" w:space="0" w:color="000000"/>
            </w:tcBorders>
          </w:tcPr>
          <w:p w:rsidR="00047FAE" w:rsidRDefault="007309FF" w:rsidP="00F30E82">
            <w:pPr>
              <w:pStyle w:val="TableParagraph"/>
              <w:spacing w:line="271" w:lineRule="exact"/>
              <w:ind w:left="102"/>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spacing w:val="25"/>
                <w:sz w:val="24"/>
                <w:szCs w:val="24"/>
              </w:rPr>
              <w:t xml:space="preserve"> </w:t>
            </w:r>
            <w:r w:rsidR="00F30E82">
              <w:rPr>
                <w:rFonts w:ascii="Arial" w:eastAsia="Arial" w:hAnsi="Arial" w:cs="Arial"/>
                <w:spacing w:val="25"/>
                <w:sz w:val="24"/>
                <w:szCs w:val="24"/>
              </w:rPr>
              <w:t xml:space="preserve">Loi </w:t>
            </w:r>
            <w:r>
              <w:rPr>
                <w:rFonts w:ascii="Arial" w:eastAsia="Arial" w:hAnsi="Arial" w:cs="Arial"/>
                <w:sz w:val="24"/>
                <w:szCs w:val="24"/>
              </w:rPr>
              <w:t>A</w:t>
            </w:r>
            <w:r>
              <w:rPr>
                <w:rFonts w:ascii="Arial" w:eastAsia="Arial" w:hAnsi="Arial" w:cs="Arial"/>
                <w:spacing w:val="-1"/>
                <w:sz w:val="24"/>
                <w:szCs w:val="24"/>
              </w:rPr>
              <w:t>r</w:t>
            </w:r>
            <w:r>
              <w:rPr>
                <w:rFonts w:ascii="Arial" w:eastAsia="Arial" w:hAnsi="Arial" w:cs="Arial"/>
                <w:sz w:val="24"/>
                <w:szCs w:val="24"/>
              </w:rPr>
              <w:t>thur</w:t>
            </w:r>
            <w:r w:rsidR="00A04950">
              <w:rPr>
                <w:rFonts w:ascii="Arial" w:eastAsia="Arial" w:hAnsi="Arial" w:cs="Arial"/>
                <w:sz w:val="24"/>
                <w:szCs w:val="24"/>
              </w:rPr>
              <w:t xml:space="preserve"> </w:t>
            </w:r>
            <w:r>
              <w:rPr>
                <w:rFonts w:ascii="Arial" w:eastAsia="Arial" w:hAnsi="Arial" w:cs="Arial"/>
                <w:spacing w:val="8"/>
                <w:sz w:val="24"/>
                <w:szCs w:val="24"/>
              </w:rPr>
              <w:t>W</w:t>
            </w:r>
            <w:r>
              <w:rPr>
                <w:rFonts w:ascii="Arial" w:eastAsia="Arial" w:hAnsi="Arial" w:cs="Arial"/>
                <w:spacing w:val="-3"/>
                <w:sz w:val="24"/>
                <w:szCs w:val="24"/>
              </w:rPr>
              <w:t>is</w:t>
            </w:r>
            <w:r>
              <w:rPr>
                <w:rFonts w:ascii="Arial" w:eastAsia="Arial" w:hAnsi="Arial" w:cs="Arial"/>
                <w:sz w:val="24"/>
                <w:szCs w:val="24"/>
              </w:rPr>
              <w:t>ha</w:t>
            </w:r>
            <w:r>
              <w:rPr>
                <w:rFonts w:ascii="Arial" w:eastAsia="Arial" w:hAnsi="Arial" w:cs="Arial"/>
                <w:spacing w:val="-1"/>
                <w:sz w:val="24"/>
                <w:szCs w:val="24"/>
              </w:rPr>
              <w:t>r</w:t>
            </w:r>
            <w:r>
              <w:rPr>
                <w:rFonts w:ascii="Arial" w:eastAsia="Arial" w:hAnsi="Arial" w:cs="Arial"/>
                <w:sz w:val="24"/>
                <w:szCs w:val="24"/>
              </w:rPr>
              <w:t>t</w:t>
            </w:r>
            <w:r w:rsidR="00F30E82">
              <w:rPr>
                <w:rFonts w:ascii="Arial" w:eastAsia="Arial" w:hAnsi="Arial" w:cs="Arial"/>
                <w:sz w:val="24"/>
                <w:szCs w:val="24"/>
              </w:rPr>
              <w:t xml:space="preserve"> de 2000</w:t>
            </w:r>
            <w:r w:rsidR="00A04950">
              <w:rPr>
                <w:rFonts w:ascii="Arial" w:eastAsia="Arial" w:hAnsi="Arial" w:cs="Arial"/>
                <w:sz w:val="24"/>
                <w:szCs w:val="24"/>
              </w:rPr>
              <w:t xml:space="preserve"> </w:t>
            </w:r>
            <w:r w:rsidR="008E1B0E">
              <w:rPr>
                <w:rFonts w:ascii="Arial" w:eastAsia="Arial" w:hAnsi="Arial" w:cs="Arial"/>
                <w:sz w:val="24"/>
                <w:szCs w:val="24"/>
              </w:rPr>
              <w:t>(sur la divulgation r</w:t>
            </w:r>
            <w:r w:rsidR="00F30E82" w:rsidRPr="00F30E82">
              <w:rPr>
                <w:rFonts w:ascii="Arial" w:eastAsia="Arial" w:hAnsi="Arial" w:cs="Arial"/>
                <w:sz w:val="24"/>
                <w:szCs w:val="24"/>
              </w:rPr>
              <w:t>elative aux franchises)</w:t>
            </w:r>
          </w:p>
        </w:tc>
        <w:tc>
          <w:tcPr>
            <w:tcW w:w="6809" w:type="dxa"/>
            <w:tcBorders>
              <w:top w:val="single" w:sz="5" w:space="0" w:color="000000"/>
              <w:left w:val="single" w:sz="5" w:space="0" w:color="000000"/>
              <w:bottom w:val="single" w:sz="5" w:space="0" w:color="000000"/>
              <w:right w:val="single" w:sz="5" w:space="0" w:color="000000"/>
            </w:tcBorders>
          </w:tcPr>
          <w:p w:rsidR="00047FAE" w:rsidRDefault="008E1B0E">
            <w:pPr>
              <w:pStyle w:val="ListParagraph"/>
              <w:numPr>
                <w:ilvl w:val="0"/>
                <w:numId w:val="18"/>
              </w:numPr>
              <w:tabs>
                <w:tab w:val="left" w:pos="462"/>
              </w:tabs>
              <w:spacing w:before="11"/>
              <w:ind w:left="462" w:right="103"/>
              <w:rPr>
                <w:rFonts w:ascii="Arial" w:eastAsia="Arial" w:hAnsi="Arial" w:cs="Arial"/>
                <w:sz w:val="24"/>
                <w:szCs w:val="24"/>
              </w:rPr>
            </w:pPr>
            <w:r>
              <w:rPr>
                <w:rFonts w:ascii="Arial" w:eastAsia="Arial" w:hAnsi="Arial" w:cs="Arial"/>
                <w:sz w:val="24"/>
                <w:szCs w:val="24"/>
              </w:rPr>
              <w:t>Énonc</w:t>
            </w:r>
            <w:r w:rsidR="00AC5E4E">
              <w:rPr>
                <w:rFonts w:ascii="Arial" w:eastAsia="Arial" w:hAnsi="Arial" w:cs="Arial"/>
                <w:sz w:val="24"/>
                <w:szCs w:val="24"/>
              </w:rPr>
              <w:t xml:space="preserve">e certains droits et </w:t>
            </w:r>
            <w:r w:rsidR="007309FF">
              <w:rPr>
                <w:rFonts w:ascii="Arial" w:eastAsia="Arial" w:hAnsi="Arial" w:cs="Arial"/>
                <w:spacing w:val="-2"/>
                <w:sz w:val="24"/>
                <w:szCs w:val="24"/>
              </w:rPr>
              <w:t>o</w:t>
            </w:r>
            <w:r w:rsidR="007309FF">
              <w:rPr>
                <w:rFonts w:ascii="Arial" w:eastAsia="Arial" w:hAnsi="Arial" w:cs="Arial"/>
                <w:sz w:val="24"/>
                <w:szCs w:val="24"/>
              </w:rPr>
              <w:t>b</w:t>
            </w:r>
            <w:r w:rsidR="007309FF">
              <w:rPr>
                <w:rFonts w:ascii="Arial" w:eastAsia="Arial" w:hAnsi="Arial" w:cs="Arial"/>
                <w:spacing w:val="-1"/>
                <w:sz w:val="24"/>
                <w:szCs w:val="24"/>
              </w:rPr>
              <w:t>li</w:t>
            </w:r>
            <w:r w:rsidR="007309FF">
              <w:rPr>
                <w:rFonts w:ascii="Arial" w:eastAsia="Arial" w:hAnsi="Arial" w:cs="Arial"/>
                <w:spacing w:val="-2"/>
                <w:sz w:val="24"/>
                <w:szCs w:val="24"/>
              </w:rPr>
              <w:t>g</w:t>
            </w:r>
            <w:r w:rsidR="007309FF">
              <w:rPr>
                <w:rFonts w:ascii="Arial" w:eastAsia="Arial" w:hAnsi="Arial" w:cs="Arial"/>
                <w:sz w:val="24"/>
                <w:szCs w:val="24"/>
              </w:rPr>
              <w:t>at</w:t>
            </w:r>
            <w:r w:rsidR="007309FF">
              <w:rPr>
                <w:rFonts w:ascii="Arial" w:eastAsia="Arial" w:hAnsi="Arial" w:cs="Arial"/>
                <w:spacing w:val="-1"/>
                <w:sz w:val="24"/>
                <w:szCs w:val="24"/>
              </w:rPr>
              <w:t>i</w:t>
            </w:r>
            <w:r w:rsidR="007309FF">
              <w:rPr>
                <w:rFonts w:ascii="Arial" w:eastAsia="Arial" w:hAnsi="Arial" w:cs="Arial"/>
                <w:sz w:val="24"/>
                <w:szCs w:val="24"/>
              </w:rPr>
              <w:t>ons</w:t>
            </w:r>
            <w:r w:rsidR="007309FF">
              <w:rPr>
                <w:rFonts w:ascii="Arial" w:eastAsia="Arial" w:hAnsi="Arial" w:cs="Arial"/>
                <w:spacing w:val="31"/>
                <w:sz w:val="24"/>
                <w:szCs w:val="24"/>
              </w:rPr>
              <w:t xml:space="preserve"> </w:t>
            </w:r>
            <w:r w:rsidR="00AC5E4E">
              <w:rPr>
                <w:rFonts w:ascii="Arial" w:eastAsia="Arial" w:hAnsi="Arial" w:cs="Arial"/>
                <w:spacing w:val="31"/>
                <w:sz w:val="24"/>
                <w:szCs w:val="24"/>
              </w:rPr>
              <w:t>des</w:t>
            </w:r>
            <w:r w:rsidR="007309FF">
              <w:rPr>
                <w:rFonts w:ascii="Arial" w:eastAsia="Arial" w:hAnsi="Arial" w:cs="Arial"/>
                <w:spacing w:val="32"/>
                <w:sz w:val="24"/>
                <w:szCs w:val="24"/>
              </w:rPr>
              <w:t xml:space="preserve"> </w:t>
            </w:r>
            <w:r w:rsidR="007309FF">
              <w:rPr>
                <w:rFonts w:ascii="Arial" w:eastAsia="Arial" w:hAnsi="Arial" w:cs="Arial"/>
                <w:spacing w:val="2"/>
                <w:sz w:val="24"/>
                <w:szCs w:val="24"/>
              </w:rPr>
              <w:t>f</w:t>
            </w:r>
            <w:r w:rsidR="007309FF">
              <w:rPr>
                <w:rFonts w:ascii="Arial" w:eastAsia="Arial" w:hAnsi="Arial" w:cs="Arial"/>
                <w:spacing w:val="-4"/>
                <w:sz w:val="24"/>
                <w:szCs w:val="24"/>
              </w:rPr>
              <w:t>r</w:t>
            </w:r>
            <w:r w:rsidR="007309FF">
              <w:rPr>
                <w:rFonts w:ascii="Arial" w:eastAsia="Arial" w:hAnsi="Arial" w:cs="Arial"/>
                <w:spacing w:val="-2"/>
                <w:sz w:val="24"/>
                <w:szCs w:val="24"/>
              </w:rPr>
              <w:t>a</w:t>
            </w:r>
            <w:r w:rsidR="007309FF">
              <w:rPr>
                <w:rFonts w:ascii="Arial" w:eastAsia="Arial" w:hAnsi="Arial" w:cs="Arial"/>
                <w:sz w:val="24"/>
                <w:szCs w:val="24"/>
              </w:rPr>
              <w:t>nch</w:t>
            </w:r>
            <w:r w:rsidR="007309FF">
              <w:rPr>
                <w:rFonts w:ascii="Arial" w:eastAsia="Arial" w:hAnsi="Arial" w:cs="Arial"/>
                <w:spacing w:val="-1"/>
                <w:sz w:val="24"/>
                <w:szCs w:val="24"/>
              </w:rPr>
              <w:t>i</w:t>
            </w:r>
            <w:r w:rsidR="007309FF">
              <w:rPr>
                <w:rFonts w:ascii="Arial" w:eastAsia="Arial" w:hAnsi="Arial" w:cs="Arial"/>
                <w:sz w:val="24"/>
                <w:szCs w:val="24"/>
              </w:rPr>
              <w:t>s</w:t>
            </w:r>
            <w:r w:rsidR="00AC5E4E">
              <w:rPr>
                <w:rFonts w:ascii="Arial" w:eastAsia="Arial" w:hAnsi="Arial" w:cs="Arial"/>
                <w:sz w:val="24"/>
                <w:szCs w:val="24"/>
              </w:rPr>
              <w:t>eu</w:t>
            </w:r>
            <w:r w:rsidR="007309FF">
              <w:rPr>
                <w:rFonts w:ascii="Arial" w:eastAsia="Arial" w:hAnsi="Arial" w:cs="Arial"/>
                <w:spacing w:val="-1"/>
                <w:sz w:val="24"/>
                <w:szCs w:val="24"/>
              </w:rPr>
              <w:t>r</w:t>
            </w:r>
            <w:r w:rsidR="007309FF">
              <w:rPr>
                <w:rFonts w:ascii="Arial" w:eastAsia="Arial" w:hAnsi="Arial" w:cs="Arial"/>
                <w:sz w:val="24"/>
                <w:szCs w:val="24"/>
              </w:rPr>
              <w:t>s</w:t>
            </w:r>
            <w:r w:rsidR="007309FF">
              <w:rPr>
                <w:rFonts w:ascii="Arial" w:eastAsia="Arial" w:hAnsi="Arial" w:cs="Arial"/>
                <w:spacing w:val="31"/>
                <w:sz w:val="24"/>
                <w:szCs w:val="24"/>
              </w:rPr>
              <w:t xml:space="preserve"> </w:t>
            </w:r>
            <w:r w:rsidR="00AC5E4E">
              <w:rPr>
                <w:rFonts w:ascii="Arial" w:eastAsia="Arial" w:hAnsi="Arial" w:cs="Arial"/>
                <w:spacing w:val="31"/>
                <w:sz w:val="24"/>
                <w:szCs w:val="24"/>
              </w:rPr>
              <w:t>et des</w:t>
            </w:r>
            <w:r w:rsidR="007309FF">
              <w:rPr>
                <w:rFonts w:ascii="Arial" w:eastAsia="Arial" w:hAnsi="Arial" w:cs="Arial"/>
                <w:sz w:val="24"/>
                <w:szCs w:val="24"/>
              </w:rPr>
              <w:t xml:space="preserve"> </w:t>
            </w:r>
            <w:r w:rsidR="007309FF">
              <w:rPr>
                <w:rFonts w:ascii="Arial" w:eastAsia="Arial" w:hAnsi="Arial" w:cs="Arial"/>
                <w:spacing w:val="2"/>
                <w:sz w:val="24"/>
                <w:szCs w:val="24"/>
              </w:rPr>
              <w:t>f</w:t>
            </w:r>
            <w:r w:rsidR="007309FF">
              <w:rPr>
                <w:rFonts w:ascii="Arial" w:eastAsia="Arial" w:hAnsi="Arial" w:cs="Arial"/>
                <w:spacing w:val="-1"/>
                <w:sz w:val="24"/>
                <w:szCs w:val="24"/>
              </w:rPr>
              <w:t>r</w:t>
            </w:r>
            <w:r w:rsidR="007309FF">
              <w:rPr>
                <w:rFonts w:ascii="Arial" w:eastAsia="Arial" w:hAnsi="Arial" w:cs="Arial"/>
                <w:spacing w:val="-2"/>
                <w:sz w:val="24"/>
                <w:szCs w:val="24"/>
              </w:rPr>
              <w:t>a</w:t>
            </w:r>
            <w:r w:rsidR="007309FF">
              <w:rPr>
                <w:rFonts w:ascii="Arial" w:eastAsia="Arial" w:hAnsi="Arial" w:cs="Arial"/>
                <w:sz w:val="24"/>
                <w:szCs w:val="24"/>
              </w:rPr>
              <w:t>nch</w:t>
            </w:r>
            <w:r w:rsidR="007309FF">
              <w:rPr>
                <w:rFonts w:ascii="Arial" w:eastAsia="Arial" w:hAnsi="Arial" w:cs="Arial"/>
                <w:spacing w:val="-1"/>
                <w:sz w:val="24"/>
                <w:szCs w:val="24"/>
              </w:rPr>
              <w:t>i</w:t>
            </w:r>
            <w:r w:rsidR="007309FF">
              <w:rPr>
                <w:rFonts w:ascii="Arial" w:eastAsia="Arial" w:hAnsi="Arial" w:cs="Arial"/>
                <w:sz w:val="24"/>
                <w:szCs w:val="24"/>
              </w:rPr>
              <w:t>s</w:t>
            </w:r>
            <w:r w:rsidR="00AC5E4E">
              <w:rPr>
                <w:rFonts w:ascii="Arial" w:eastAsia="Arial" w:hAnsi="Arial" w:cs="Arial"/>
                <w:sz w:val="24"/>
                <w:szCs w:val="24"/>
              </w:rPr>
              <w:t>és</w:t>
            </w:r>
            <w:r w:rsidR="007309FF">
              <w:rPr>
                <w:rFonts w:ascii="Arial" w:eastAsia="Arial" w:hAnsi="Arial" w:cs="Arial"/>
                <w:sz w:val="24"/>
                <w:szCs w:val="24"/>
              </w:rPr>
              <w:t xml:space="preserve">, </w:t>
            </w:r>
            <w:r w:rsidR="00AC5E4E">
              <w:rPr>
                <w:rFonts w:ascii="Arial" w:eastAsia="Arial" w:hAnsi="Arial" w:cs="Arial"/>
                <w:spacing w:val="-1"/>
                <w:sz w:val="24"/>
                <w:szCs w:val="24"/>
              </w:rPr>
              <w:t xml:space="preserve">notamment </w:t>
            </w:r>
            <w:r w:rsidR="007309FF">
              <w:rPr>
                <w:rFonts w:ascii="Arial" w:eastAsia="Arial" w:hAnsi="Arial" w:cs="Arial"/>
                <w:sz w:val="24"/>
                <w:szCs w:val="24"/>
              </w:rPr>
              <w:t>:</w:t>
            </w:r>
          </w:p>
          <w:p w:rsidR="00047FAE" w:rsidRDefault="00047FAE">
            <w:pPr>
              <w:pStyle w:val="TableParagraph"/>
              <w:spacing w:before="4" w:line="240" w:lineRule="exact"/>
              <w:rPr>
                <w:sz w:val="24"/>
                <w:szCs w:val="24"/>
              </w:rPr>
            </w:pPr>
          </w:p>
          <w:p w:rsidR="00047FAE" w:rsidRDefault="00AC5E4E">
            <w:pPr>
              <w:pStyle w:val="ListParagraph"/>
              <w:numPr>
                <w:ilvl w:val="1"/>
                <w:numId w:val="18"/>
              </w:numPr>
              <w:tabs>
                <w:tab w:val="left" w:pos="822"/>
              </w:tabs>
              <w:spacing w:line="276" w:lineRule="exact"/>
              <w:ind w:left="822" w:right="100"/>
              <w:jc w:val="both"/>
              <w:rPr>
                <w:rFonts w:ascii="Arial" w:eastAsia="Arial" w:hAnsi="Arial" w:cs="Arial"/>
                <w:sz w:val="24"/>
                <w:szCs w:val="24"/>
              </w:rPr>
            </w:pPr>
            <w:r>
              <w:rPr>
                <w:rFonts w:ascii="Arial" w:eastAsia="Arial" w:hAnsi="Arial" w:cs="Arial"/>
                <w:spacing w:val="-1"/>
                <w:sz w:val="24"/>
                <w:szCs w:val="24"/>
              </w:rPr>
              <w:t xml:space="preserve">l'exigence du franchiseur à fournir </w:t>
            </w:r>
            <w:r w:rsidR="008E1B0E">
              <w:rPr>
                <w:rFonts w:ascii="Arial" w:eastAsia="Arial" w:hAnsi="Arial" w:cs="Arial"/>
                <w:spacing w:val="-1"/>
                <w:sz w:val="24"/>
                <w:szCs w:val="24"/>
              </w:rPr>
              <w:t>au</w:t>
            </w:r>
            <w:r>
              <w:rPr>
                <w:rFonts w:ascii="Arial" w:eastAsia="Arial" w:hAnsi="Arial" w:cs="Arial"/>
                <w:spacing w:val="-1"/>
                <w:sz w:val="24"/>
                <w:szCs w:val="24"/>
              </w:rPr>
              <w:t xml:space="preserve"> franchisé un document d’information détaillé avant de conclure un contrat de franchisage;</w:t>
            </w:r>
          </w:p>
          <w:p w:rsidR="00047FAE" w:rsidRDefault="00047FAE">
            <w:pPr>
              <w:pStyle w:val="TableParagraph"/>
              <w:spacing w:line="120" w:lineRule="exact"/>
              <w:rPr>
                <w:sz w:val="12"/>
                <w:szCs w:val="12"/>
              </w:rPr>
            </w:pPr>
          </w:p>
          <w:p w:rsidR="00047FAE" w:rsidRDefault="00AC5E4E">
            <w:pPr>
              <w:pStyle w:val="ListParagraph"/>
              <w:numPr>
                <w:ilvl w:val="1"/>
                <w:numId w:val="18"/>
              </w:numPr>
              <w:tabs>
                <w:tab w:val="left" w:pos="822"/>
              </w:tabs>
              <w:spacing w:line="276" w:lineRule="exact"/>
              <w:ind w:left="822" w:right="100"/>
              <w:jc w:val="both"/>
              <w:rPr>
                <w:rFonts w:ascii="Arial" w:eastAsia="Arial" w:hAnsi="Arial" w:cs="Arial"/>
                <w:sz w:val="24"/>
                <w:szCs w:val="24"/>
              </w:rPr>
            </w:pPr>
            <w:r>
              <w:rPr>
                <w:rFonts w:ascii="Arial" w:eastAsia="Arial" w:hAnsi="Arial" w:cs="Arial"/>
                <w:spacing w:val="2"/>
                <w:sz w:val="24"/>
                <w:szCs w:val="24"/>
              </w:rPr>
              <w:t>le droit des franchisés de s’associer avec d’autres franchisés;</w:t>
            </w:r>
          </w:p>
          <w:p w:rsidR="00047FAE" w:rsidRDefault="00047FAE">
            <w:pPr>
              <w:pStyle w:val="TableParagraph"/>
              <w:spacing w:before="10" w:line="110" w:lineRule="exact"/>
              <w:rPr>
                <w:sz w:val="11"/>
                <w:szCs w:val="11"/>
              </w:rPr>
            </w:pPr>
          </w:p>
          <w:p w:rsidR="00047FAE" w:rsidRDefault="00AC5E4E" w:rsidP="008E1B0E">
            <w:pPr>
              <w:pStyle w:val="ListParagraph"/>
              <w:numPr>
                <w:ilvl w:val="1"/>
                <w:numId w:val="18"/>
              </w:numPr>
              <w:tabs>
                <w:tab w:val="left" w:pos="822"/>
              </w:tabs>
              <w:spacing w:line="276" w:lineRule="exact"/>
              <w:ind w:left="822" w:right="99"/>
              <w:jc w:val="both"/>
              <w:rPr>
                <w:rFonts w:ascii="Arial" w:eastAsia="Arial" w:hAnsi="Arial" w:cs="Arial"/>
                <w:sz w:val="24"/>
                <w:szCs w:val="24"/>
              </w:rPr>
            </w:pPr>
            <w:r>
              <w:rPr>
                <w:rFonts w:ascii="Arial" w:eastAsia="Arial" w:hAnsi="Arial" w:cs="Arial"/>
                <w:sz w:val="24"/>
                <w:szCs w:val="24"/>
              </w:rPr>
              <w:t>l’i</w:t>
            </w:r>
            <w:r w:rsidR="007309FF">
              <w:rPr>
                <w:rFonts w:ascii="Arial" w:eastAsia="Arial" w:hAnsi="Arial" w:cs="Arial"/>
                <w:spacing w:val="1"/>
                <w:sz w:val="24"/>
                <w:szCs w:val="24"/>
              </w:rPr>
              <w:t>m</w:t>
            </w:r>
            <w:r w:rsidR="007309FF">
              <w:rPr>
                <w:rFonts w:ascii="Arial" w:eastAsia="Arial" w:hAnsi="Arial" w:cs="Arial"/>
                <w:spacing w:val="-2"/>
                <w:sz w:val="24"/>
                <w:szCs w:val="24"/>
              </w:rPr>
              <w:t>p</w:t>
            </w:r>
            <w:r w:rsidR="007309FF">
              <w:rPr>
                <w:rFonts w:ascii="Arial" w:eastAsia="Arial" w:hAnsi="Arial" w:cs="Arial"/>
                <w:sz w:val="24"/>
                <w:szCs w:val="24"/>
              </w:rPr>
              <w:t>os</w:t>
            </w:r>
            <w:r w:rsidR="007309FF">
              <w:rPr>
                <w:rFonts w:ascii="Arial" w:eastAsia="Arial" w:hAnsi="Arial" w:cs="Arial"/>
                <w:spacing w:val="-1"/>
                <w:sz w:val="24"/>
                <w:szCs w:val="24"/>
              </w:rPr>
              <w:t>i</w:t>
            </w:r>
            <w:r w:rsidR="007309FF">
              <w:rPr>
                <w:rFonts w:ascii="Arial" w:eastAsia="Arial" w:hAnsi="Arial" w:cs="Arial"/>
                <w:sz w:val="24"/>
                <w:szCs w:val="24"/>
              </w:rPr>
              <w:t>t</w:t>
            </w:r>
            <w:r w:rsidR="007309FF">
              <w:rPr>
                <w:rFonts w:ascii="Arial" w:eastAsia="Arial" w:hAnsi="Arial" w:cs="Arial"/>
                <w:spacing w:val="-1"/>
                <w:sz w:val="24"/>
                <w:szCs w:val="24"/>
              </w:rPr>
              <w:t>i</w:t>
            </w:r>
            <w:r w:rsidR="007309FF">
              <w:rPr>
                <w:rFonts w:ascii="Arial" w:eastAsia="Arial" w:hAnsi="Arial" w:cs="Arial"/>
                <w:sz w:val="24"/>
                <w:szCs w:val="24"/>
              </w:rPr>
              <w:t>on</w:t>
            </w:r>
            <w:r w:rsidR="007309FF">
              <w:rPr>
                <w:rFonts w:ascii="Arial" w:eastAsia="Arial" w:hAnsi="Arial" w:cs="Arial"/>
                <w:spacing w:val="20"/>
                <w:sz w:val="24"/>
                <w:szCs w:val="24"/>
              </w:rPr>
              <w:t xml:space="preserve"> </w:t>
            </w:r>
            <w:r>
              <w:rPr>
                <w:rFonts w:ascii="Arial" w:eastAsia="Arial" w:hAnsi="Arial" w:cs="Arial"/>
                <w:spacing w:val="20"/>
                <w:sz w:val="24"/>
                <w:szCs w:val="24"/>
              </w:rPr>
              <w:t xml:space="preserve">de « rapports équitables » </w:t>
            </w:r>
            <w:r>
              <w:rPr>
                <w:rFonts w:ascii="Arial" w:eastAsia="Arial" w:hAnsi="Arial" w:cs="Arial"/>
                <w:spacing w:val="-2"/>
                <w:sz w:val="24"/>
                <w:szCs w:val="24"/>
              </w:rPr>
              <w:t>aux deux parties dans l’exécution ou la mise en application d’un contrat de franchisage, dont le devoir d’agir de bonne foi</w:t>
            </w:r>
            <w:r w:rsidR="008E1B0E">
              <w:rPr>
                <w:rFonts w:ascii="Arial" w:eastAsia="Arial" w:hAnsi="Arial" w:cs="Arial"/>
                <w:spacing w:val="-2"/>
                <w:sz w:val="24"/>
                <w:szCs w:val="24"/>
              </w:rPr>
              <w:t>,</w:t>
            </w:r>
            <w:r>
              <w:rPr>
                <w:rFonts w:ascii="Arial" w:eastAsia="Arial" w:hAnsi="Arial" w:cs="Arial"/>
                <w:spacing w:val="-2"/>
                <w:sz w:val="24"/>
                <w:szCs w:val="24"/>
              </w:rPr>
              <w:t xml:space="preserve"> conformément à des normes commerciales raisonnables</w:t>
            </w:r>
          </w:p>
        </w:tc>
      </w:tr>
      <w:tr w:rsidR="00047FAE" w:rsidTr="007A09EB">
        <w:trPr>
          <w:trHeight w:hRule="exact" w:val="1130"/>
        </w:trPr>
        <w:tc>
          <w:tcPr>
            <w:tcW w:w="2767" w:type="dxa"/>
            <w:tcBorders>
              <w:top w:val="single" w:sz="5" w:space="0" w:color="000000"/>
              <w:left w:val="single" w:sz="5" w:space="0" w:color="000000"/>
              <w:bottom w:val="single" w:sz="5" w:space="0" w:color="000000"/>
              <w:right w:val="single" w:sz="5" w:space="0" w:color="000000"/>
            </w:tcBorders>
          </w:tcPr>
          <w:p w:rsidR="00047FAE" w:rsidRDefault="007309FF" w:rsidP="00F30E82">
            <w:pPr>
              <w:pStyle w:val="TableParagraph"/>
              <w:spacing w:line="271" w:lineRule="exact"/>
              <w:ind w:left="102"/>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spacing w:val="25"/>
                <w:sz w:val="24"/>
                <w:szCs w:val="24"/>
              </w:rPr>
              <w:t xml:space="preserve"> </w:t>
            </w:r>
            <w:r w:rsidR="00F30E82">
              <w:rPr>
                <w:rFonts w:ascii="Arial" w:eastAsia="Arial" w:hAnsi="Arial" w:cs="Arial"/>
                <w:sz w:val="24"/>
                <w:szCs w:val="24"/>
              </w:rPr>
              <w:t>Lois sur les cessions et préférences</w:t>
            </w:r>
          </w:p>
        </w:tc>
        <w:tc>
          <w:tcPr>
            <w:tcW w:w="6809" w:type="dxa"/>
            <w:tcBorders>
              <w:top w:val="single" w:sz="5" w:space="0" w:color="000000"/>
              <w:left w:val="single" w:sz="5" w:space="0" w:color="000000"/>
              <w:bottom w:val="single" w:sz="5" w:space="0" w:color="000000"/>
              <w:right w:val="single" w:sz="5" w:space="0" w:color="000000"/>
            </w:tcBorders>
          </w:tcPr>
          <w:p w:rsidR="00047FAE" w:rsidRDefault="007309FF" w:rsidP="00AC5E4E">
            <w:pPr>
              <w:pStyle w:val="ListParagraph"/>
              <w:numPr>
                <w:ilvl w:val="0"/>
                <w:numId w:val="17"/>
              </w:numPr>
              <w:tabs>
                <w:tab w:val="left" w:pos="462"/>
              </w:tabs>
              <w:spacing w:before="11"/>
              <w:ind w:left="462" w:right="102"/>
              <w:jc w:val="both"/>
              <w:rPr>
                <w:rFonts w:ascii="Arial" w:eastAsia="Arial" w:hAnsi="Arial" w:cs="Arial"/>
                <w:sz w:val="24"/>
                <w:szCs w:val="24"/>
              </w:rPr>
            </w:pPr>
            <w:r>
              <w:rPr>
                <w:rFonts w:ascii="Arial" w:eastAsia="Arial" w:hAnsi="Arial" w:cs="Arial"/>
                <w:sz w:val="24"/>
                <w:szCs w:val="24"/>
              </w:rPr>
              <w:t>In</w:t>
            </w:r>
            <w:r>
              <w:rPr>
                <w:rFonts w:ascii="Arial" w:eastAsia="Arial" w:hAnsi="Arial" w:cs="Arial"/>
                <w:spacing w:val="-3"/>
                <w:sz w:val="24"/>
                <w:szCs w:val="24"/>
              </w:rPr>
              <w:t>v</w:t>
            </w:r>
            <w:r>
              <w:rPr>
                <w:rFonts w:ascii="Arial" w:eastAsia="Arial" w:hAnsi="Arial" w:cs="Arial"/>
                <w:sz w:val="24"/>
                <w:szCs w:val="24"/>
              </w:rPr>
              <w:t>a</w:t>
            </w:r>
            <w:r>
              <w:rPr>
                <w:rFonts w:ascii="Arial" w:eastAsia="Arial" w:hAnsi="Arial" w:cs="Arial"/>
                <w:spacing w:val="-1"/>
                <w:sz w:val="24"/>
                <w:szCs w:val="24"/>
              </w:rPr>
              <w:t>li</w:t>
            </w:r>
            <w:r>
              <w:rPr>
                <w:rFonts w:ascii="Arial" w:eastAsia="Arial" w:hAnsi="Arial" w:cs="Arial"/>
                <w:sz w:val="24"/>
                <w:szCs w:val="24"/>
              </w:rPr>
              <w:t>d</w:t>
            </w:r>
            <w:r w:rsidR="00AC5E4E">
              <w:rPr>
                <w:rFonts w:ascii="Arial" w:eastAsia="Arial" w:hAnsi="Arial" w:cs="Arial"/>
                <w:sz w:val="24"/>
                <w:szCs w:val="24"/>
              </w:rPr>
              <w:t>e le transfert des biens</w:t>
            </w:r>
            <w:r>
              <w:rPr>
                <w:rFonts w:ascii="Arial" w:eastAsia="Arial" w:hAnsi="Arial" w:cs="Arial"/>
                <w:sz w:val="24"/>
                <w:szCs w:val="24"/>
              </w:rPr>
              <w:t xml:space="preserve"> </w:t>
            </w:r>
            <w:r>
              <w:rPr>
                <w:rFonts w:ascii="Arial" w:eastAsia="Arial" w:hAnsi="Arial" w:cs="Arial"/>
                <w:spacing w:val="-1"/>
                <w:sz w:val="24"/>
                <w:szCs w:val="24"/>
              </w:rPr>
              <w:t>(</w:t>
            </w:r>
            <w:r w:rsidR="00AC5E4E">
              <w:rPr>
                <w:rFonts w:ascii="Arial" w:eastAsia="Arial" w:hAnsi="Arial" w:cs="Arial"/>
                <w:spacing w:val="-1"/>
                <w:sz w:val="24"/>
                <w:szCs w:val="24"/>
              </w:rPr>
              <w:t>par le biais de dons</w:t>
            </w:r>
            <w:r>
              <w:rPr>
                <w:rFonts w:ascii="Arial" w:eastAsia="Arial" w:hAnsi="Arial" w:cs="Arial"/>
                <w:spacing w:val="-1"/>
                <w:sz w:val="24"/>
                <w:szCs w:val="24"/>
              </w:rPr>
              <w:t>)</w:t>
            </w:r>
            <w:r w:rsidR="00AC5E4E">
              <w:rPr>
                <w:rFonts w:ascii="Arial" w:eastAsia="Arial" w:hAnsi="Arial" w:cs="Arial"/>
                <w:spacing w:val="-1"/>
                <w:sz w:val="24"/>
                <w:szCs w:val="24"/>
              </w:rPr>
              <w:t xml:space="preserve"> consentis dans l’intention d’entraver ou de léser les créanciers quand une personne est insolvable</w:t>
            </w:r>
          </w:p>
        </w:tc>
      </w:tr>
      <w:tr w:rsidR="00047FAE" w:rsidTr="007A09EB">
        <w:trPr>
          <w:trHeight w:hRule="exact" w:val="1404"/>
        </w:trPr>
        <w:tc>
          <w:tcPr>
            <w:tcW w:w="2767" w:type="dxa"/>
            <w:tcBorders>
              <w:top w:val="single" w:sz="5" w:space="0" w:color="000000"/>
              <w:left w:val="single" w:sz="5" w:space="0" w:color="000000"/>
              <w:bottom w:val="single" w:sz="5" w:space="0" w:color="000000"/>
              <w:right w:val="single" w:sz="5" w:space="0" w:color="000000"/>
            </w:tcBorders>
          </w:tcPr>
          <w:p w:rsidR="00047FAE" w:rsidRDefault="007309FF" w:rsidP="00F30E82">
            <w:pPr>
              <w:pStyle w:val="TableParagraph"/>
              <w:spacing w:line="271" w:lineRule="exact"/>
              <w:ind w:left="102"/>
              <w:rPr>
                <w:rFonts w:ascii="Arial" w:eastAsia="Arial" w:hAnsi="Arial" w:cs="Arial"/>
                <w:sz w:val="24"/>
                <w:szCs w:val="24"/>
              </w:rPr>
            </w:pPr>
            <w:r>
              <w:rPr>
                <w:rFonts w:ascii="Arial" w:eastAsia="Arial" w:hAnsi="Arial" w:cs="Arial"/>
                <w:sz w:val="24"/>
                <w:szCs w:val="24"/>
              </w:rPr>
              <w:t xml:space="preserve">4. </w:t>
            </w:r>
            <w:r>
              <w:rPr>
                <w:rFonts w:ascii="Arial" w:eastAsia="Arial" w:hAnsi="Arial" w:cs="Arial"/>
                <w:spacing w:val="25"/>
                <w:sz w:val="24"/>
                <w:szCs w:val="24"/>
              </w:rPr>
              <w:t xml:space="preserve"> </w:t>
            </w:r>
            <w:r w:rsidR="00F30E82">
              <w:rPr>
                <w:rFonts w:ascii="Arial" w:eastAsia="Arial" w:hAnsi="Arial" w:cs="Arial"/>
                <w:sz w:val="24"/>
                <w:szCs w:val="24"/>
              </w:rPr>
              <w:t xml:space="preserve">Loi sur les sociétés par </w:t>
            </w:r>
            <w:r w:rsidR="004F7AB8">
              <w:rPr>
                <w:rFonts w:ascii="Arial" w:eastAsia="Arial" w:hAnsi="Arial" w:cs="Arial"/>
                <w:sz w:val="24"/>
                <w:szCs w:val="24"/>
              </w:rPr>
              <w:t>actions</w:t>
            </w:r>
          </w:p>
        </w:tc>
        <w:tc>
          <w:tcPr>
            <w:tcW w:w="6809" w:type="dxa"/>
            <w:tcBorders>
              <w:top w:val="single" w:sz="5" w:space="0" w:color="000000"/>
              <w:left w:val="single" w:sz="5" w:space="0" w:color="000000"/>
              <w:bottom w:val="single" w:sz="5" w:space="0" w:color="000000"/>
              <w:right w:val="single" w:sz="5" w:space="0" w:color="000000"/>
            </w:tcBorders>
          </w:tcPr>
          <w:p w:rsidR="00047FAE" w:rsidRDefault="00AC5E4E" w:rsidP="008E1B0E">
            <w:pPr>
              <w:pStyle w:val="ListParagraph"/>
              <w:numPr>
                <w:ilvl w:val="0"/>
                <w:numId w:val="16"/>
              </w:numPr>
              <w:tabs>
                <w:tab w:val="left" w:pos="462"/>
              </w:tabs>
              <w:spacing w:before="11"/>
              <w:ind w:left="462" w:right="102"/>
              <w:jc w:val="both"/>
              <w:rPr>
                <w:rFonts w:ascii="Arial" w:eastAsia="Arial" w:hAnsi="Arial" w:cs="Arial"/>
                <w:sz w:val="24"/>
                <w:szCs w:val="24"/>
              </w:rPr>
            </w:pPr>
            <w:r>
              <w:rPr>
                <w:rFonts w:ascii="Arial" w:eastAsia="Arial" w:hAnsi="Arial" w:cs="Arial"/>
                <w:sz w:val="24"/>
                <w:szCs w:val="24"/>
              </w:rPr>
              <w:t xml:space="preserve">Établit un cadre législatif de base régissant les sociétés par </w:t>
            </w:r>
            <w:r w:rsidR="004F7AB8">
              <w:rPr>
                <w:rFonts w:ascii="Arial" w:eastAsia="Arial" w:hAnsi="Arial" w:cs="Arial"/>
                <w:sz w:val="24"/>
                <w:szCs w:val="24"/>
              </w:rPr>
              <w:t>actions</w:t>
            </w:r>
            <w:r>
              <w:rPr>
                <w:rFonts w:ascii="Arial" w:eastAsia="Arial" w:hAnsi="Arial" w:cs="Arial"/>
                <w:sz w:val="24"/>
                <w:szCs w:val="24"/>
              </w:rPr>
              <w:t xml:space="preserve"> </w:t>
            </w:r>
            <w:r w:rsidR="008E1B0E">
              <w:rPr>
                <w:rFonts w:ascii="Arial" w:eastAsia="Arial" w:hAnsi="Arial" w:cs="Arial"/>
                <w:sz w:val="24"/>
                <w:szCs w:val="24"/>
              </w:rPr>
              <w:t xml:space="preserve">en </w:t>
            </w:r>
            <w:r w:rsidR="007309FF">
              <w:rPr>
                <w:rFonts w:ascii="Arial" w:eastAsia="Arial" w:hAnsi="Arial" w:cs="Arial"/>
                <w:sz w:val="24"/>
                <w:szCs w:val="24"/>
              </w:rPr>
              <w:t>Onta</w:t>
            </w:r>
            <w:r w:rsidR="007309FF">
              <w:rPr>
                <w:rFonts w:ascii="Arial" w:eastAsia="Arial" w:hAnsi="Arial" w:cs="Arial"/>
                <w:spacing w:val="-1"/>
                <w:sz w:val="24"/>
                <w:szCs w:val="24"/>
              </w:rPr>
              <w:t>ri</w:t>
            </w:r>
            <w:r w:rsidR="007309FF">
              <w:rPr>
                <w:rFonts w:ascii="Arial" w:eastAsia="Arial" w:hAnsi="Arial" w:cs="Arial"/>
                <w:sz w:val="24"/>
                <w:szCs w:val="24"/>
              </w:rPr>
              <w:t>o</w:t>
            </w:r>
            <w:r>
              <w:rPr>
                <w:rFonts w:ascii="Arial" w:eastAsia="Arial" w:hAnsi="Arial" w:cs="Arial"/>
                <w:sz w:val="24"/>
                <w:szCs w:val="24"/>
              </w:rPr>
              <w:t>; traite de la constitution en société, de la gouvernance interne et de la</w:t>
            </w:r>
            <w:r w:rsidR="007309FF">
              <w:rPr>
                <w:rFonts w:ascii="Arial" w:eastAsia="Arial" w:hAnsi="Arial" w:cs="Arial"/>
                <w:sz w:val="24"/>
                <w:szCs w:val="24"/>
              </w:rPr>
              <w:t xml:space="preserve"> d</w:t>
            </w:r>
            <w:r w:rsidR="007309FF">
              <w:rPr>
                <w:rFonts w:ascii="Arial" w:eastAsia="Arial" w:hAnsi="Arial" w:cs="Arial"/>
                <w:spacing w:val="-1"/>
                <w:sz w:val="24"/>
                <w:szCs w:val="24"/>
              </w:rPr>
              <w:t>i</w:t>
            </w:r>
            <w:r w:rsidR="007309FF">
              <w:rPr>
                <w:rFonts w:ascii="Arial" w:eastAsia="Arial" w:hAnsi="Arial" w:cs="Arial"/>
                <w:sz w:val="24"/>
                <w:szCs w:val="24"/>
              </w:rPr>
              <w:t>sso</w:t>
            </w:r>
            <w:r w:rsidR="007309FF">
              <w:rPr>
                <w:rFonts w:ascii="Arial" w:eastAsia="Arial" w:hAnsi="Arial" w:cs="Arial"/>
                <w:spacing w:val="-1"/>
                <w:sz w:val="24"/>
                <w:szCs w:val="24"/>
              </w:rPr>
              <w:t>l</w:t>
            </w:r>
            <w:r w:rsidR="007309FF">
              <w:rPr>
                <w:rFonts w:ascii="Arial" w:eastAsia="Arial" w:hAnsi="Arial" w:cs="Arial"/>
                <w:sz w:val="24"/>
                <w:szCs w:val="24"/>
              </w:rPr>
              <w:t>ut</w:t>
            </w:r>
            <w:r w:rsidR="007309FF">
              <w:rPr>
                <w:rFonts w:ascii="Arial" w:eastAsia="Arial" w:hAnsi="Arial" w:cs="Arial"/>
                <w:spacing w:val="-1"/>
                <w:sz w:val="24"/>
                <w:szCs w:val="24"/>
              </w:rPr>
              <w:t>i</w:t>
            </w:r>
            <w:r w:rsidR="007309FF">
              <w:rPr>
                <w:rFonts w:ascii="Arial" w:eastAsia="Arial" w:hAnsi="Arial" w:cs="Arial"/>
                <w:sz w:val="24"/>
                <w:szCs w:val="24"/>
              </w:rPr>
              <w:t xml:space="preserve">on </w:t>
            </w:r>
            <w:r>
              <w:rPr>
                <w:rFonts w:ascii="Arial" w:eastAsia="Arial" w:hAnsi="Arial" w:cs="Arial"/>
                <w:sz w:val="24"/>
                <w:szCs w:val="24"/>
              </w:rPr>
              <w:t>des affaires d’une société</w:t>
            </w:r>
          </w:p>
        </w:tc>
      </w:tr>
      <w:tr w:rsidR="00047FAE" w:rsidTr="007A09EB">
        <w:trPr>
          <w:trHeight w:hRule="exact" w:val="1130"/>
        </w:trPr>
        <w:tc>
          <w:tcPr>
            <w:tcW w:w="2767" w:type="dxa"/>
            <w:tcBorders>
              <w:top w:val="single" w:sz="5" w:space="0" w:color="000000"/>
              <w:left w:val="single" w:sz="5" w:space="0" w:color="000000"/>
              <w:bottom w:val="single" w:sz="5" w:space="0" w:color="000000"/>
              <w:right w:val="single" w:sz="5" w:space="0" w:color="000000"/>
            </w:tcBorders>
          </w:tcPr>
          <w:p w:rsidR="00047FAE" w:rsidRDefault="007309FF" w:rsidP="00F30E82">
            <w:pPr>
              <w:pStyle w:val="TableParagraph"/>
              <w:spacing w:before="1" w:line="276" w:lineRule="exact"/>
              <w:ind w:left="462" w:right="490" w:hanging="360"/>
              <w:rPr>
                <w:rFonts w:ascii="Arial" w:eastAsia="Arial" w:hAnsi="Arial" w:cs="Arial"/>
                <w:sz w:val="24"/>
                <w:szCs w:val="24"/>
              </w:rPr>
            </w:pPr>
            <w:r>
              <w:rPr>
                <w:rFonts w:ascii="Arial" w:eastAsia="Arial" w:hAnsi="Arial" w:cs="Arial"/>
                <w:sz w:val="24"/>
                <w:szCs w:val="24"/>
              </w:rPr>
              <w:t xml:space="preserve">5. </w:t>
            </w:r>
            <w:r>
              <w:rPr>
                <w:rFonts w:ascii="Arial" w:eastAsia="Arial" w:hAnsi="Arial" w:cs="Arial"/>
                <w:spacing w:val="25"/>
                <w:sz w:val="24"/>
                <w:szCs w:val="24"/>
              </w:rPr>
              <w:t xml:space="preserve"> </w:t>
            </w:r>
            <w:r w:rsidR="00F30E82">
              <w:rPr>
                <w:rFonts w:ascii="Arial" w:eastAsia="Arial" w:hAnsi="Arial" w:cs="Arial"/>
                <w:sz w:val="24"/>
                <w:szCs w:val="24"/>
              </w:rPr>
              <w:t>Loi sur les noms commerciaux</w:t>
            </w:r>
          </w:p>
        </w:tc>
        <w:tc>
          <w:tcPr>
            <w:tcW w:w="6809" w:type="dxa"/>
            <w:tcBorders>
              <w:top w:val="single" w:sz="5" w:space="0" w:color="000000"/>
              <w:left w:val="single" w:sz="5" w:space="0" w:color="000000"/>
              <w:bottom w:val="single" w:sz="5" w:space="0" w:color="000000"/>
              <w:right w:val="single" w:sz="5" w:space="0" w:color="000000"/>
            </w:tcBorders>
          </w:tcPr>
          <w:p w:rsidR="00047FAE" w:rsidRDefault="007309FF" w:rsidP="00F41818">
            <w:pPr>
              <w:pStyle w:val="ListParagraph"/>
              <w:numPr>
                <w:ilvl w:val="0"/>
                <w:numId w:val="15"/>
              </w:numPr>
              <w:tabs>
                <w:tab w:val="left" w:pos="462"/>
              </w:tabs>
              <w:spacing w:before="14" w:line="239" w:lineRule="auto"/>
              <w:ind w:left="462" w:right="100"/>
              <w:jc w:val="both"/>
              <w:rPr>
                <w:rFonts w:ascii="Arial" w:eastAsia="Arial" w:hAnsi="Arial" w:cs="Arial"/>
                <w:sz w:val="24"/>
                <w:szCs w:val="24"/>
              </w:rPr>
            </w:pPr>
            <w:r>
              <w:rPr>
                <w:rFonts w:ascii="Arial" w:eastAsia="Arial" w:hAnsi="Arial" w:cs="Arial"/>
                <w:sz w:val="24"/>
                <w:szCs w:val="24"/>
              </w:rPr>
              <w:t>P</w:t>
            </w:r>
            <w:r w:rsidR="00AC5E4E">
              <w:rPr>
                <w:rFonts w:ascii="Arial" w:eastAsia="Arial" w:hAnsi="Arial" w:cs="Arial"/>
                <w:spacing w:val="-1"/>
                <w:sz w:val="24"/>
                <w:szCs w:val="24"/>
              </w:rPr>
              <w:t xml:space="preserve">ermet, de manière générale, l’enregistrement des noms commerciaux </w:t>
            </w:r>
            <w:r w:rsidR="00042C2C">
              <w:rPr>
                <w:rFonts w:ascii="Arial" w:eastAsia="Arial" w:hAnsi="Arial" w:cs="Arial"/>
                <w:spacing w:val="-1"/>
                <w:sz w:val="24"/>
                <w:szCs w:val="24"/>
              </w:rPr>
              <w:t xml:space="preserve">et traite des avis publics </w:t>
            </w:r>
            <w:r w:rsidR="00B21F46">
              <w:rPr>
                <w:rFonts w:ascii="Arial" w:eastAsia="Arial" w:hAnsi="Arial" w:cs="Arial"/>
                <w:spacing w:val="-1"/>
                <w:sz w:val="24"/>
                <w:szCs w:val="24"/>
              </w:rPr>
              <w:t xml:space="preserve">du propriétaire ou du </w:t>
            </w:r>
            <w:r w:rsidR="00F41818">
              <w:rPr>
                <w:rFonts w:ascii="Arial" w:eastAsia="Arial" w:hAnsi="Arial" w:cs="Arial"/>
                <w:spacing w:val="-1"/>
                <w:sz w:val="24"/>
                <w:szCs w:val="24"/>
              </w:rPr>
              <w:t>directeur à l’origine des noms commerciaux</w:t>
            </w:r>
          </w:p>
        </w:tc>
      </w:tr>
      <w:tr w:rsidR="00047FAE" w:rsidTr="007A09EB">
        <w:trPr>
          <w:trHeight w:hRule="exact" w:val="854"/>
        </w:trPr>
        <w:tc>
          <w:tcPr>
            <w:tcW w:w="2767" w:type="dxa"/>
            <w:tcBorders>
              <w:top w:val="single" w:sz="5" w:space="0" w:color="000000"/>
              <w:left w:val="single" w:sz="5" w:space="0" w:color="000000"/>
              <w:bottom w:val="single" w:sz="5" w:space="0" w:color="000000"/>
              <w:right w:val="single" w:sz="5" w:space="0" w:color="000000"/>
            </w:tcBorders>
          </w:tcPr>
          <w:p w:rsidR="00047FAE" w:rsidRPr="00D37374" w:rsidRDefault="007309FF" w:rsidP="007A09EB">
            <w:pPr>
              <w:pStyle w:val="TableParagraph"/>
              <w:spacing w:before="1" w:line="276" w:lineRule="exact"/>
              <w:ind w:left="462" w:right="490" w:hanging="360"/>
              <w:rPr>
                <w:rFonts w:ascii="Arial" w:eastAsia="Arial" w:hAnsi="Arial" w:cs="Arial"/>
                <w:sz w:val="20"/>
                <w:szCs w:val="20"/>
              </w:rPr>
            </w:pPr>
            <w:r w:rsidRPr="007A09EB">
              <w:rPr>
                <w:rFonts w:ascii="Arial" w:eastAsia="Arial" w:hAnsi="Arial" w:cs="Arial"/>
                <w:sz w:val="24"/>
                <w:szCs w:val="24"/>
              </w:rPr>
              <w:t xml:space="preserve">6.  </w:t>
            </w:r>
            <w:r w:rsidR="00F30E82" w:rsidRPr="007A09EB">
              <w:rPr>
                <w:rFonts w:ascii="Arial" w:eastAsia="Arial" w:hAnsi="Arial" w:cs="Arial"/>
                <w:sz w:val="24"/>
                <w:szCs w:val="24"/>
              </w:rPr>
              <w:t xml:space="preserve">Loi de 1994 </w:t>
            </w:r>
            <w:r w:rsidR="00D37374" w:rsidRPr="007A09EB">
              <w:rPr>
                <w:rFonts w:ascii="Arial" w:eastAsia="Arial" w:hAnsi="Arial" w:cs="Arial"/>
                <w:sz w:val="24"/>
                <w:szCs w:val="24"/>
              </w:rPr>
              <w:t>portant sur la réforme de la réglementation des entreprises</w:t>
            </w:r>
          </w:p>
        </w:tc>
        <w:tc>
          <w:tcPr>
            <w:tcW w:w="6809" w:type="dxa"/>
            <w:tcBorders>
              <w:top w:val="single" w:sz="5" w:space="0" w:color="000000"/>
              <w:left w:val="single" w:sz="5" w:space="0" w:color="000000"/>
              <w:bottom w:val="single" w:sz="5" w:space="0" w:color="000000"/>
              <w:right w:val="single" w:sz="5" w:space="0" w:color="000000"/>
            </w:tcBorders>
          </w:tcPr>
          <w:p w:rsidR="00047FAE" w:rsidRDefault="007309FF" w:rsidP="00F41818">
            <w:pPr>
              <w:pStyle w:val="ListParagraph"/>
              <w:numPr>
                <w:ilvl w:val="0"/>
                <w:numId w:val="14"/>
              </w:numPr>
              <w:tabs>
                <w:tab w:val="left" w:pos="462"/>
              </w:tabs>
              <w:spacing w:before="20" w:line="274" w:lineRule="exact"/>
              <w:ind w:left="462" w:right="102"/>
              <w:rPr>
                <w:rFonts w:ascii="Arial" w:eastAsia="Arial" w:hAnsi="Arial" w:cs="Arial"/>
                <w:sz w:val="24"/>
                <w:szCs w:val="24"/>
              </w:rPr>
            </w:pPr>
            <w:r>
              <w:rPr>
                <w:rFonts w:ascii="Arial" w:eastAsia="Arial" w:hAnsi="Arial" w:cs="Arial"/>
                <w:spacing w:val="-1"/>
                <w:sz w:val="24"/>
                <w:szCs w:val="24"/>
              </w:rPr>
              <w:t>F</w:t>
            </w:r>
            <w:r>
              <w:rPr>
                <w:rFonts w:ascii="Arial" w:eastAsia="Arial" w:hAnsi="Arial" w:cs="Arial"/>
                <w:sz w:val="24"/>
                <w:szCs w:val="24"/>
              </w:rPr>
              <w:t>ac</w:t>
            </w:r>
            <w:r>
              <w:rPr>
                <w:rFonts w:ascii="Arial" w:eastAsia="Arial" w:hAnsi="Arial" w:cs="Arial"/>
                <w:spacing w:val="-1"/>
                <w:sz w:val="24"/>
                <w:szCs w:val="24"/>
              </w:rPr>
              <w:t>ili</w:t>
            </w:r>
            <w:r w:rsidR="00F41818">
              <w:rPr>
                <w:rFonts w:ascii="Arial" w:eastAsia="Arial" w:hAnsi="Arial" w:cs="Arial"/>
                <w:sz w:val="24"/>
                <w:szCs w:val="24"/>
              </w:rPr>
              <w:t>t</w:t>
            </w:r>
            <w:r>
              <w:rPr>
                <w:rFonts w:ascii="Arial" w:eastAsia="Arial" w:hAnsi="Arial" w:cs="Arial"/>
                <w:sz w:val="24"/>
                <w:szCs w:val="24"/>
              </w:rPr>
              <w:t>e,</w:t>
            </w:r>
            <w:r>
              <w:rPr>
                <w:rFonts w:ascii="Arial" w:eastAsia="Arial" w:hAnsi="Arial" w:cs="Arial"/>
                <w:spacing w:val="27"/>
                <w:sz w:val="24"/>
                <w:szCs w:val="24"/>
              </w:rPr>
              <w:t xml:space="preserve"> </w:t>
            </w:r>
            <w:r>
              <w:rPr>
                <w:rFonts w:ascii="Arial" w:eastAsia="Arial" w:hAnsi="Arial" w:cs="Arial"/>
                <w:sz w:val="24"/>
                <w:szCs w:val="24"/>
              </w:rPr>
              <w:t>s</w:t>
            </w:r>
            <w:r>
              <w:rPr>
                <w:rFonts w:ascii="Arial" w:eastAsia="Arial" w:hAnsi="Arial" w:cs="Arial"/>
                <w:spacing w:val="-1"/>
                <w:sz w:val="24"/>
                <w:szCs w:val="24"/>
              </w:rPr>
              <w:t>im</w:t>
            </w:r>
            <w:r>
              <w:rPr>
                <w:rFonts w:ascii="Arial" w:eastAsia="Arial" w:hAnsi="Arial" w:cs="Arial"/>
                <w:sz w:val="24"/>
                <w:szCs w:val="24"/>
              </w:rPr>
              <w:t>p</w:t>
            </w:r>
            <w:r>
              <w:rPr>
                <w:rFonts w:ascii="Arial" w:eastAsia="Arial" w:hAnsi="Arial" w:cs="Arial"/>
                <w:spacing w:val="-1"/>
                <w:sz w:val="24"/>
                <w:szCs w:val="24"/>
              </w:rPr>
              <w:t>l</w:t>
            </w:r>
            <w:r>
              <w:rPr>
                <w:rFonts w:ascii="Arial" w:eastAsia="Arial" w:hAnsi="Arial" w:cs="Arial"/>
                <w:spacing w:val="-3"/>
                <w:sz w:val="24"/>
                <w:szCs w:val="24"/>
              </w:rPr>
              <w:t>i</w:t>
            </w:r>
            <w:r>
              <w:rPr>
                <w:rFonts w:ascii="Arial" w:eastAsia="Arial" w:hAnsi="Arial" w:cs="Arial"/>
                <w:spacing w:val="2"/>
                <w:sz w:val="24"/>
                <w:szCs w:val="24"/>
              </w:rPr>
              <w:t>f</w:t>
            </w:r>
            <w:r>
              <w:rPr>
                <w:rFonts w:ascii="Arial" w:eastAsia="Arial" w:hAnsi="Arial" w:cs="Arial"/>
                <w:spacing w:val="-1"/>
                <w:sz w:val="24"/>
                <w:szCs w:val="24"/>
              </w:rPr>
              <w:t>i</w:t>
            </w:r>
            <w:r>
              <w:rPr>
                <w:rFonts w:ascii="Arial" w:eastAsia="Arial" w:hAnsi="Arial" w:cs="Arial"/>
                <w:sz w:val="24"/>
                <w:szCs w:val="24"/>
              </w:rPr>
              <w:t>e</w:t>
            </w:r>
            <w:r w:rsidR="00F41818">
              <w:rPr>
                <w:rFonts w:ascii="Arial" w:eastAsia="Arial" w:hAnsi="Arial" w:cs="Arial"/>
                <w:sz w:val="24"/>
                <w:szCs w:val="24"/>
              </w:rPr>
              <w:t xml:space="preserve"> et rationalise les processus actuels d’enregistrement et de rapport des entreprises en</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ri</w:t>
            </w:r>
            <w:r>
              <w:rPr>
                <w:rFonts w:ascii="Arial" w:eastAsia="Arial" w:hAnsi="Arial" w:cs="Arial"/>
                <w:sz w:val="24"/>
                <w:szCs w:val="24"/>
              </w:rPr>
              <w:t>o</w:t>
            </w:r>
          </w:p>
        </w:tc>
      </w:tr>
      <w:tr w:rsidR="007A09EB" w:rsidTr="007A09EB">
        <w:trPr>
          <w:trHeight w:hRule="exact" w:val="854"/>
        </w:trPr>
        <w:tc>
          <w:tcPr>
            <w:tcW w:w="2767" w:type="dxa"/>
            <w:tcBorders>
              <w:top w:val="single" w:sz="5" w:space="0" w:color="000000"/>
              <w:left w:val="single" w:sz="5" w:space="0" w:color="000000"/>
              <w:bottom w:val="single" w:sz="5" w:space="0" w:color="000000"/>
              <w:right w:val="single" w:sz="5" w:space="0" w:color="000000"/>
            </w:tcBorders>
          </w:tcPr>
          <w:p w:rsidR="007A09EB" w:rsidRDefault="007A09EB" w:rsidP="007A09EB">
            <w:pPr>
              <w:pStyle w:val="TableParagraph"/>
              <w:spacing w:line="271" w:lineRule="exact"/>
              <w:ind w:left="102"/>
              <w:rPr>
                <w:rFonts w:ascii="Arial" w:eastAsia="Arial" w:hAnsi="Arial" w:cs="Arial"/>
                <w:sz w:val="24"/>
                <w:szCs w:val="24"/>
              </w:rPr>
            </w:pPr>
            <w:r>
              <w:rPr>
                <w:rFonts w:ascii="Arial" w:eastAsia="Arial" w:hAnsi="Arial" w:cs="Arial"/>
                <w:sz w:val="24"/>
                <w:szCs w:val="24"/>
              </w:rPr>
              <w:t xml:space="preserve">7. </w:t>
            </w:r>
            <w:r>
              <w:rPr>
                <w:rFonts w:ascii="Arial" w:eastAsia="Arial" w:hAnsi="Arial" w:cs="Arial"/>
                <w:spacing w:val="25"/>
                <w:sz w:val="24"/>
                <w:szCs w:val="24"/>
              </w:rPr>
              <w:t xml:space="preserve"> </w:t>
            </w:r>
            <w:r>
              <w:rPr>
                <w:rFonts w:ascii="Arial" w:eastAsia="Arial" w:hAnsi="Arial" w:cs="Arial"/>
                <w:spacing w:val="-1"/>
                <w:sz w:val="24"/>
                <w:szCs w:val="24"/>
              </w:rPr>
              <w:t>Loi sur les personnes morales</w:t>
            </w:r>
          </w:p>
        </w:tc>
        <w:tc>
          <w:tcPr>
            <w:tcW w:w="6809" w:type="dxa"/>
            <w:tcBorders>
              <w:top w:val="single" w:sz="5" w:space="0" w:color="000000"/>
              <w:left w:val="single" w:sz="5" w:space="0" w:color="000000"/>
              <w:bottom w:val="single" w:sz="5" w:space="0" w:color="000000"/>
              <w:right w:val="single" w:sz="5" w:space="0" w:color="000000"/>
            </w:tcBorders>
          </w:tcPr>
          <w:p w:rsidR="007A09EB" w:rsidRDefault="007A09EB" w:rsidP="007A09EB">
            <w:pPr>
              <w:pStyle w:val="ListParagraph"/>
              <w:numPr>
                <w:ilvl w:val="0"/>
                <w:numId w:val="13"/>
              </w:numPr>
              <w:tabs>
                <w:tab w:val="left" w:pos="462"/>
              </w:tabs>
              <w:spacing w:before="11"/>
              <w:ind w:left="462" w:right="99"/>
              <w:jc w:val="both"/>
              <w:rPr>
                <w:rFonts w:ascii="Arial" w:eastAsia="Arial" w:hAnsi="Arial" w:cs="Arial"/>
                <w:sz w:val="24"/>
                <w:szCs w:val="24"/>
              </w:rPr>
            </w:pPr>
            <w:r>
              <w:rPr>
                <w:rFonts w:ascii="Arial" w:eastAsia="Arial" w:hAnsi="Arial" w:cs="Arial"/>
                <w:sz w:val="24"/>
                <w:szCs w:val="24"/>
              </w:rPr>
              <w:t>Dresse un cadre législatif de base régissant les sociétés sans but lucratif en</w:t>
            </w:r>
            <w:r>
              <w:rPr>
                <w:rFonts w:ascii="Arial" w:eastAsia="Arial" w:hAnsi="Arial" w:cs="Arial"/>
                <w:spacing w:val="33"/>
                <w:sz w:val="24"/>
                <w:szCs w:val="24"/>
              </w:rPr>
              <w:t xml:space="preserve"> </w:t>
            </w:r>
            <w:r>
              <w:rPr>
                <w:rFonts w:ascii="Arial" w:eastAsia="Arial" w:hAnsi="Arial" w:cs="Arial"/>
                <w:sz w:val="24"/>
                <w:szCs w:val="24"/>
              </w:rPr>
              <w:t>On</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ri</w:t>
            </w:r>
            <w:r>
              <w:rPr>
                <w:rFonts w:ascii="Arial" w:eastAsia="Arial" w:hAnsi="Arial" w:cs="Arial"/>
                <w:sz w:val="24"/>
                <w:szCs w:val="24"/>
              </w:rPr>
              <w:t>o; traite de constitution en société, de gouvernance interne et de dissolution des sociétés sans but lucratif et des œuvres de bienfaisance; régit également d’autres types de sociétés comme les compagnies d’assurance de l’</w:t>
            </w:r>
            <w:r>
              <w:rPr>
                <w:rFonts w:ascii="Arial" w:eastAsia="Arial" w:hAnsi="Arial" w:cs="Arial"/>
                <w:spacing w:val="-2"/>
                <w:sz w:val="24"/>
                <w:szCs w:val="24"/>
              </w:rPr>
              <w:t>O</w:t>
            </w:r>
            <w:r>
              <w:rPr>
                <w:rFonts w:ascii="Arial" w:eastAsia="Arial" w:hAnsi="Arial" w:cs="Arial"/>
                <w:sz w:val="24"/>
                <w:szCs w:val="24"/>
              </w:rPr>
              <w:t>nta</w:t>
            </w:r>
            <w:r>
              <w:rPr>
                <w:rFonts w:ascii="Arial" w:eastAsia="Arial" w:hAnsi="Arial" w:cs="Arial"/>
                <w:spacing w:val="-4"/>
                <w:sz w:val="24"/>
                <w:szCs w:val="24"/>
              </w:rPr>
              <w:t>r</w:t>
            </w:r>
            <w:r>
              <w:rPr>
                <w:rFonts w:ascii="Arial" w:eastAsia="Arial" w:hAnsi="Arial" w:cs="Arial"/>
                <w:spacing w:val="-1"/>
                <w:sz w:val="24"/>
                <w:szCs w:val="24"/>
              </w:rPr>
              <w:t>i</w:t>
            </w:r>
            <w:r>
              <w:rPr>
                <w:rFonts w:ascii="Arial" w:eastAsia="Arial" w:hAnsi="Arial" w:cs="Arial"/>
                <w:sz w:val="24"/>
                <w:szCs w:val="24"/>
              </w:rPr>
              <w:t>o</w:t>
            </w:r>
          </w:p>
        </w:tc>
      </w:tr>
      <w:tr w:rsidR="007A09EB" w:rsidTr="007A09EB">
        <w:trPr>
          <w:trHeight w:hRule="exact" w:val="854"/>
        </w:trPr>
        <w:tc>
          <w:tcPr>
            <w:tcW w:w="2767" w:type="dxa"/>
            <w:tcBorders>
              <w:top w:val="single" w:sz="5" w:space="0" w:color="000000"/>
              <w:left w:val="single" w:sz="5" w:space="0" w:color="000000"/>
              <w:bottom w:val="single" w:sz="5" w:space="0" w:color="000000"/>
              <w:right w:val="single" w:sz="5" w:space="0" w:color="000000"/>
            </w:tcBorders>
          </w:tcPr>
          <w:p w:rsidR="007A09EB" w:rsidRDefault="007A09EB" w:rsidP="007A09EB">
            <w:pPr>
              <w:pStyle w:val="TableParagraph"/>
              <w:spacing w:line="271" w:lineRule="exact"/>
              <w:ind w:left="102"/>
              <w:rPr>
                <w:rFonts w:ascii="Arial" w:eastAsia="Arial" w:hAnsi="Arial" w:cs="Arial"/>
                <w:sz w:val="24"/>
                <w:szCs w:val="24"/>
              </w:rPr>
            </w:pPr>
            <w:r>
              <w:rPr>
                <w:rFonts w:ascii="Arial" w:eastAsia="Arial" w:hAnsi="Arial" w:cs="Arial"/>
                <w:sz w:val="24"/>
                <w:szCs w:val="24"/>
              </w:rPr>
              <w:t xml:space="preserve">8. </w:t>
            </w:r>
            <w:r>
              <w:rPr>
                <w:rFonts w:ascii="Arial" w:eastAsia="Arial" w:hAnsi="Arial" w:cs="Arial"/>
                <w:spacing w:val="25"/>
                <w:sz w:val="24"/>
                <w:szCs w:val="24"/>
              </w:rPr>
              <w:t xml:space="preserve"> </w:t>
            </w:r>
            <w:r>
              <w:rPr>
                <w:rFonts w:ascii="Arial" w:eastAsia="Arial" w:hAnsi="Arial" w:cs="Arial"/>
                <w:spacing w:val="-1"/>
                <w:sz w:val="24"/>
                <w:szCs w:val="24"/>
              </w:rPr>
              <w:t>Loi sur les renseignements exigés des personnes morales</w:t>
            </w:r>
          </w:p>
          <w:p w:rsidR="007A09EB" w:rsidRDefault="007A09EB" w:rsidP="007A09EB">
            <w:pPr>
              <w:pStyle w:val="TableParagraph"/>
              <w:ind w:left="462"/>
              <w:rPr>
                <w:rFonts w:ascii="Arial" w:eastAsia="Arial" w:hAnsi="Arial" w:cs="Arial"/>
                <w:sz w:val="24"/>
                <w:szCs w:val="24"/>
              </w:rPr>
            </w:pP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2"/>
                <w:sz w:val="24"/>
                <w:szCs w:val="24"/>
              </w:rPr>
              <w:t>f</w:t>
            </w:r>
            <w:r>
              <w:rPr>
                <w:rFonts w:ascii="Arial" w:eastAsia="Arial" w:hAnsi="Arial" w:cs="Arial"/>
                <w:sz w:val="24"/>
                <w:szCs w:val="24"/>
              </w:rPr>
              <w:t>o</w:t>
            </w:r>
            <w:r>
              <w:rPr>
                <w:rFonts w:ascii="Arial" w:eastAsia="Arial" w:hAnsi="Arial" w:cs="Arial"/>
                <w:spacing w:val="-4"/>
                <w:sz w:val="24"/>
                <w:szCs w:val="24"/>
              </w:rPr>
              <w:t>r</w:t>
            </w:r>
            <w:r>
              <w:rPr>
                <w:rFonts w:ascii="Arial" w:eastAsia="Arial" w:hAnsi="Arial" w:cs="Arial"/>
                <w:spacing w:val="1"/>
                <w:sz w:val="24"/>
                <w:szCs w:val="24"/>
              </w:rPr>
              <w:t>m</w:t>
            </w:r>
            <w:r>
              <w:rPr>
                <w:rFonts w:ascii="Arial" w:eastAsia="Arial" w:hAnsi="Arial" w:cs="Arial"/>
                <w:sz w:val="24"/>
                <w:szCs w:val="24"/>
              </w:rPr>
              <w:t>at</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Act</w:t>
            </w:r>
          </w:p>
        </w:tc>
        <w:tc>
          <w:tcPr>
            <w:tcW w:w="6809" w:type="dxa"/>
            <w:tcBorders>
              <w:top w:val="single" w:sz="5" w:space="0" w:color="000000"/>
              <w:left w:val="single" w:sz="5" w:space="0" w:color="000000"/>
              <w:bottom w:val="single" w:sz="5" w:space="0" w:color="000000"/>
              <w:right w:val="single" w:sz="5" w:space="0" w:color="000000"/>
            </w:tcBorders>
          </w:tcPr>
          <w:p w:rsidR="007A09EB" w:rsidRDefault="007A09EB" w:rsidP="007A09EB">
            <w:pPr>
              <w:pStyle w:val="ListParagraph"/>
              <w:numPr>
                <w:ilvl w:val="0"/>
                <w:numId w:val="12"/>
              </w:numPr>
              <w:tabs>
                <w:tab w:val="left" w:pos="462"/>
              </w:tabs>
              <w:spacing w:before="11"/>
              <w:ind w:left="462" w:right="101"/>
              <w:rPr>
                <w:rFonts w:ascii="Arial" w:eastAsia="Arial" w:hAnsi="Arial" w:cs="Arial"/>
                <w:sz w:val="24"/>
                <w:szCs w:val="24"/>
              </w:rPr>
            </w:pPr>
            <w:r>
              <w:rPr>
                <w:rFonts w:ascii="Arial" w:eastAsia="Arial" w:hAnsi="Arial" w:cs="Arial"/>
                <w:sz w:val="24"/>
                <w:szCs w:val="24"/>
              </w:rPr>
              <w:t>Traite du dépôt des déclarations et des avis d’</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z w:val="24"/>
                <w:szCs w:val="24"/>
              </w:rPr>
              <w:t>fo</w:t>
            </w:r>
            <w:r>
              <w:rPr>
                <w:rFonts w:ascii="Arial" w:eastAsia="Arial" w:hAnsi="Arial" w:cs="Arial"/>
                <w:spacing w:val="-1"/>
                <w:sz w:val="24"/>
                <w:szCs w:val="24"/>
              </w:rPr>
              <w:t>rm</w:t>
            </w:r>
            <w:r>
              <w:rPr>
                <w:rFonts w:ascii="Arial" w:eastAsia="Arial" w:hAnsi="Arial" w:cs="Arial"/>
                <w:sz w:val="24"/>
                <w:szCs w:val="24"/>
              </w:rPr>
              <w:t>a</w:t>
            </w:r>
            <w:r>
              <w:rPr>
                <w:rFonts w:ascii="Arial" w:eastAsia="Arial" w:hAnsi="Arial" w:cs="Arial"/>
                <w:spacing w:val="-2"/>
                <w:sz w:val="24"/>
                <w:szCs w:val="24"/>
              </w:rPr>
              <w:t>t</w:t>
            </w:r>
            <w:r>
              <w:rPr>
                <w:rFonts w:ascii="Arial" w:eastAsia="Arial" w:hAnsi="Arial" w:cs="Arial"/>
                <w:spacing w:val="-1"/>
                <w:sz w:val="24"/>
                <w:szCs w:val="24"/>
              </w:rPr>
              <w:t>i</w:t>
            </w:r>
            <w:r>
              <w:rPr>
                <w:rFonts w:ascii="Arial" w:eastAsia="Arial" w:hAnsi="Arial" w:cs="Arial"/>
                <w:sz w:val="24"/>
                <w:szCs w:val="24"/>
              </w:rPr>
              <w:t>on</w:t>
            </w:r>
            <w:r>
              <w:rPr>
                <w:rFonts w:ascii="Arial" w:eastAsia="Arial" w:hAnsi="Arial" w:cs="Arial"/>
                <w:spacing w:val="6"/>
                <w:sz w:val="24"/>
                <w:szCs w:val="24"/>
              </w:rPr>
              <w:t xml:space="preserve"> des sociétés à titre d’information publique</w:t>
            </w:r>
          </w:p>
        </w:tc>
      </w:tr>
      <w:tr w:rsidR="007A09EB" w:rsidTr="007A09EB">
        <w:trPr>
          <w:trHeight w:hRule="exact" w:val="854"/>
        </w:trPr>
        <w:tc>
          <w:tcPr>
            <w:tcW w:w="2767" w:type="dxa"/>
            <w:tcBorders>
              <w:top w:val="single" w:sz="5" w:space="0" w:color="000000"/>
              <w:left w:val="single" w:sz="5" w:space="0" w:color="000000"/>
              <w:bottom w:val="single" w:sz="5" w:space="0" w:color="000000"/>
              <w:right w:val="single" w:sz="5" w:space="0" w:color="000000"/>
            </w:tcBorders>
          </w:tcPr>
          <w:p w:rsidR="007A09EB" w:rsidRDefault="007A09EB" w:rsidP="007A09EB">
            <w:pPr>
              <w:pStyle w:val="TableParagraph"/>
              <w:spacing w:line="271" w:lineRule="exact"/>
              <w:ind w:left="102"/>
              <w:rPr>
                <w:rFonts w:ascii="Arial" w:eastAsia="Arial" w:hAnsi="Arial" w:cs="Arial"/>
                <w:sz w:val="24"/>
                <w:szCs w:val="24"/>
              </w:rPr>
            </w:pPr>
            <w:r>
              <w:rPr>
                <w:rFonts w:ascii="Arial" w:eastAsia="Arial" w:hAnsi="Arial" w:cs="Arial"/>
                <w:sz w:val="24"/>
                <w:szCs w:val="24"/>
              </w:rPr>
              <w:lastRenderedPageBreak/>
              <w:t xml:space="preserve">9. </w:t>
            </w:r>
            <w:r>
              <w:rPr>
                <w:rFonts w:ascii="Arial" w:eastAsia="Arial" w:hAnsi="Arial" w:cs="Arial"/>
                <w:spacing w:val="25"/>
                <w:sz w:val="24"/>
                <w:szCs w:val="24"/>
              </w:rPr>
              <w:t xml:space="preserve"> </w:t>
            </w:r>
            <w:r>
              <w:rPr>
                <w:rFonts w:ascii="Arial" w:eastAsia="Arial" w:hAnsi="Arial" w:cs="Arial"/>
                <w:spacing w:val="-1"/>
                <w:sz w:val="24"/>
                <w:szCs w:val="24"/>
              </w:rPr>
              <w:t>Loi sur les pratiques de commerce discriminatoires</w:t>
            </w:r>
          </w:p>
        </w:tc>
        <w:tc>
          <w:tcPr>
            <w:tcW w:w="6809" w:type="dxa"/>
            <w:tcBorders>
              <w:top w:val="single" w:sz="5" w:space="0" w:color="000000"/>
              <w:left w:val="single" w:sz="5" w:space="0" w:color="000000"/>
              <w:bottom w:val="single" w:sz="5" w:space="0" w:color="000000"/>
              <w:right w:val="single" w:sz="5" w:space="0" w:color="000000"/>
            </w:tcBorders>
          </w:tcPr>
          <w:p w:rsidR="007A09EB" w:rsidRDefault="007A09EB" w:rsidP="007A09EB">
            <w:pPr>
              <w:pStyle w:val="ListParagraph"/>
              <w:numPr>
                <w:ilvl w:val="0"/>
                <w:numId w:val="11"/>
              </w:numPr>
              <w:tabs>
                <w:tab w:val="left" w:pos="462"/>
              </w:tabs>
              <w:spacing w:before="11"/>
              <w:ind w:left="462" w:right="99"/>
              <w:jc w:val="both"/>
              <w:rPr>
                <w:rFonts w:ascii="Arial" w:eastAsia="Arial" w:hAnsi="Arial" w:cs="Arial"/>
                <w:sz w:val="24"/>
                <w:szCs w:val="24"/>
              </w:rPr>
            </w:pPr>
            <w:r>
              <w:rPr>
                <w:rFonts w:ascii="Arial" w:eastAsia="Arial" w:hAnsi="Arial" w:cs="Arial"/>
                <w:spacing w:val="2"/>
                <w:sz w:val="24"/>
                <w:szCs w:val="24"/>
              </w:rPr>
              <w:t>Prévient la 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ri</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z w:val="24"/>
                <w:szCs w:val="24"/>
              </w:rPr>
              <w:t>nat</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0"/>
                <w:sz w:val="24"/>
                <w:szCs w:val="24"/>
              </w:rPr>
              <w:t xml:space="preserve"> en fonction de la </w:t>
            </w:r>
            <w:r>
              <w:rPr>
                <w:rFonts w:ascii="Arial" w:eastAsia="Arial" w:hAnsi="Arial" w:cs="Arial"/>
                <w:spacing w:val="-1"/>
                <w:sz w:val="24"/>
                <w:szCs w:val="24"/>
              </w:rPr>
              <w:t>r</w:t>
            </w:r>
            <w:r>
              <w:rPr>
                <w:rFonts w:ascii="Arial" w:eastAsia="Arial" w:hAnsi="Arial" w:cs="Arial"/>
                <w:sz w:val="24"/>
                <w:szCs w:val="24"/>
              </w:rPr>
              <w:t>ace, du credo, de la couleur de la peau, de la nationalité,</w:t>
            </w:r>
            <w:r>
              <w:rPr>
                <w:rFonts w:ascii="Arial" w:eastAsia="Arial" w:hAnsi="Arial" w:cs="Arial"/>
                <w:spacing w:val="15"/>
                <w:sz w:val="24"/>
                <w:szCs w:val="24"/>
              </w:rPr>
              <w:t xml:space="preserve"> de l’ascendance, du lieu d’</w:t>
            </w:r>
            <w:r>
              <w:rPr>
                <w:rFonts w:ascii="Arial" w:eastAsia="Arial" w:hAnsi="Arial" w:cs="Arial"/>
                <w:sz w:val="24"/>
                <w:szCs w:val="24"/>
              </w:rPr>
              <w:t>origine, du sexe, de l’emplacement géographique des personnes occupant un emploi ou transigeant des affaires; interdit les pratiques commerciales discriminatoires et permet à une personne d’intenter des poursuites en raison de pertes ou de dommages résultant d’une enfreinte</w:t>
            </w:r>
            <w:r>
              <w:rPr>
                <w:rFonts w:ascii="Arial" w:eastAsia="Arial" w:hAnsi="Arial" w:cs="Arial"/>
                <w:spacing w:val="13"/>
                <w:sz w:val="24"/>
                <w:szCs w:val="24"/>
              </w:rPr>
              <w:t xml:space="preserve"> à la loi</w:t>
            </w:r>
          </w:p>
        </w:tc>
      </w:tr>
      <w:tr w:rsidR="007A09EB" w:rsidTr="007A09EB">
        <w:trPr>
          <w:trHeight w:hRule="exact" w:val="854"/>
        </w:trPr>
        <w:tc>
          <w:tcPr>
            <w:tcW w:w="2767" w:type="dxa"/>
            <w:tcBorders>
              <w:top w:val="single" w:sz="5" w:space="0" w:color="000000"/>
              <w:left w:val="single" w:sz="5" w:space="0" w:color="000000"/>
              <w:bottom w:val="single" w:sz="5" w:space="0" w:color="000000"/>
              <w:right w:val="single" w:sz="5" w:space="0" w:color="000000"/>
            </w:tcBorders>
          </w:tcPr>
          <w:p w:rsidR="007A09EB" w:rsidRDefault="007A09EB" w:rsidP="007A09EB">
            <w:pPr>
              <w:pStyle w:val="TableParagraph"/>
              <w:spacing w:line="271" w:lineRule="exact"/>
              <w:ind w:left="102"/>
              <w:rPr>
                <w:rFonts w:ascii="Arial" w:eastAsia="Arial" w:hAnsi="Arial" w:cs="Arial"/>
                <w:sz w:val="24"/>
                <w:szCs w:val="24"/>
              </w:rPr>
            </w:pPr>
            <w:r>
              <w:rPr>
                <w:rFonts w:ascii="Arial" w:eastAsia="Arial" w:hAnsi="Arial" w:cs="Arial"/>
                <w:sz w:val="24"/>
                <w:szCs w:val="24"/>
              </w:rPr>
              <w:t>10.</w:t>
            </w:r>
            <w:r>
              <w:rPr>
                <w:rFonts w:ascii="Arial" w:eastAsia="Arial" w:hAnsi="Arial" w:cs="Arial"/>
                <w:spacing w:val="-43"/>
                <w:sz w:val="24"/>
                <w:szCs w:val="24"/>
              </w:rPr>
              <w:t xml:space="preserve"> </w:t>
            </w:r>
            <w:r>
              <w:rPr>
                <w:rFonts w:ascii="Arial" w:eastAsia="Arial" w:hAnsi="Arial" w:cs="Arial"/>
                <w:sz w:val="24"/>
                <w:szCs w:val="24"/>
              </w:rPr>
              <w:t>Loi de 1991 sur l’enregistrement électronique dans le cadre de lois relevant du ministère des Services aux consommateurs et aux entreprises</w:t>
            </w:r>
          </w:p>
        </w:tc>
        <w:tc>
          <w:tcPr>
            <w:tcW w:w="6809" w:type="dxa"/>
            <w:tcBorders>
              <w:top w:val="single" w:sz="5" w:space="0" w:color="000000"/>
              <w:left w:val="single" w:sz="5" w:space="0" w:color="000000"/>
              <w:bottom w:val="single" w:sz="5" w:space="0" w:color="000000"/>
              <w:right w:val="single" w:sz="5" w:space="0" w:color="000000"/>
            </w:tcBorders>
          </w:tcPr>
          <w:p w:rsidR="007A09EB" w:rsidRDefault="007A09EB" w:rsidP="007A09EB">
            <w:pPr>
              <w:pStyle w:val="ListParagraph"/>
              <w:numPr>
                <w:ilvl w:val="0"/>
                <w:numId w:val="10"/>
              </w:numPr>
              <w:tabs>
                <w:tab w:val="left" w:pos="462"/>
              </w:tabs>
              <w:spacing w:before="17" w:line="274" w:lineRule="exact"/>
              <w:ind w:left="462" w:right="98"/>
              <w:rPr>
                <w:rFonts w:ascii="Arial" w:eastAsia="Arial" w:hAnsi="Arial" w:cs="Arial"/>
                <w:sz w:val="24"/>
                <w:szCs w:val="24"/>
              </w:rPr>
            </w:pPr>
            <w:r>
              <w:rPr>
                <w:rFonts w:ascii="Arial" w:eastAsia="Arial" w:hAnsi="Arial" w:cs="Arial"/>
                <w:sz w:val="24"/>
                <w:szCs w:val="24"/>
              </w:rPr>
              <w:t>Pe</w:t>
            </w:r>
            <w:r>
              <w:rPr>
                <w:rFonts w:ascii="Arial" w:eastAsia="Arial" w:hAnsi="Arial" w:cs="Arial"/>
                <w:spacing w:val="-1"/>
                <w:sz w:val="24"/>
                <w:szCs w:val="24"/>
              </w:rPr>
              <w:t>r</w:t>
            </w:r>
            <w:r>
              <w:rPr>
                <w:rFonts w:ascii="Arial" w:eastAsia="Arial" w:hAnsi="Arial" w:cs="Arial"/>
                <w:spacing w:val="1"/>
                <w:sz w:val="24"/>
                <w:szCs w:val="24"/>
              </w:rPr>
              <w:t>met aux personnes qui sont tenues de déposer de l’information en vertu de certaines lois de la déposer dans un format électronique prescrit</w:t>
            </w:r>
          </w:p>
        </w:tc>
      </w:tr>
      <w:tr w:rsidR="007A09EB" w:rsidTr="007A09EB">
        <w:trPr>
          <w:trHeight w:hRule="exact" w:val="854"/>
        </w:trPr>
        <w:tc>
          <w:tcPr>
            <w:tcW w:w="2767" w:type="dxa"/>
            <w:tcBorders>
              <w:top w:val="single" w:sz="5" w:space="0" w:color="000000"/>
              <w:left w:val="single" w:sz="5" w:space="0" w:color="000000"/>
              <w:bottom w:val="single" w:sz="5" w:space="0" w:color="000000"/>
              <w:right w:val="single" w:sz="5" w:space="0" w:color="000000"/>
            </w:tcBorders>
          </w:tcPr>
          <w:p w:rsidR="007A09EB" w:rsidRDefault="007A09EB" w:rsidP="007A09EB">
            <w:pPr>
              <w:pStyle w:val="TableParagraph"/>
              <w:spacing w:line="271" w:lineRule="exact"/>
              <w:ind w:left="102"/>
              <w:rPr>
                <w:rFonts w:ascii="Arial" w:eastAsia="Arial" w:hAnsi="Arial" w:cs="Arial"/>
                <w:sz w:val="24"/>
                <w:szCs w:val="24"/>
              </w:rPr>
            </w:pPr>
            <w:r>
              <w:rPr>
                <w:rFonts w:ascii="Arial" w:eastAsia="Arial" w:hAnsi="Arial" w:cs="Arial"/>
                <w:sz w:val="24"/>
                <w:szCs w:val="24"/>
              </w:rPr>
              <w:t>11.</w:t>
            </w:r>
            <w:r>
              <w:rPr>
                <w:rFonts w:ascii="Arial" w:eastAsia="Arial" w:hAnsi="Arial" w:cs="Arial"/>
                <w:spacing w:val="-43"/>
                <w:sz w:val="24"/>
                <w:szCs w:val="24"/>
              </w:rPr>
              <w:t xml:space="preserve"> </w:t>
            </w:r>
            <w:r>
              <w:rPr>
                <w:rFonts w:ascii="Arial" w:eastAsia="Arial" w:hAnsi="Arial" w:cs="Arial"/>
                <w:sz w:val="24"/>
                <w:szCs w:val="24"/>
              </w:rPr>
              <w:t>Loi sur les personnes morales extraprovinciales</w:t>
            </w:r>
          </w:p>
        </w:tc>
        <w:tc>
          <w:tcPr>
            <w:tcW w:w="6809" w:type="dxa"/>
            <w:tcBorders>
              <w:top w:val="single" w:sz="5" w:space="0" w:color="000000"/>
              <w:left w:val="single" w:sz="5" w:space="0" w:color="000000"/>
              <w:bottom w:val="single" w:sz="5" w:space="0" w:color="000000"/>
              <w:right w:val="single" w:sz="5" w:space="0" w:color="000000"/>
            </w:tcBorders>
          </w:tcPr>
          <w:p w:rsidR="007A09EB" w:rsidRDefault="007A09EB" w:rsidP="007A09EB">
            <w:pPr>
              <w:pStyle w:val="ListParagraph"/>
              <w:numPr>
                <w:ilvl w:val="0"/>
                <w:numId w:val="9"/>
              </w:numPr>
              <w:tabs>
                <w:tab w:val="left" w:pos="462"/>
              </w:tabs>
              <w:spacing w:before="11"/>
              <w:ind w:left="462" w:right="99"/>
              <w:jc w:val="both"/>
              <w:rPr>
                <w:rFonts w:ascii="Arial" w:eastAsia="Arial" w:hAnsi="Arial" w:cs="Arial"/>
                <w:sz w:val="24"/>
                <w:szCs w:val="24"/>
              </w:rPr>
            </w:pPr>
            <w:r>
              <w:rPr>
                <w:rFonts w:ascii="Arial" w:eastAsia="Arial" w:hAnsi="Arial" w:cs="Arial"/>
                <w:sz w:val="24"/>
                <w:szCs w:val="24"/>
              </w:rPr>
              <w:t xml:space="preserve">Permet la délivrance de permis à l’intention de sociétés constituées en vertu des lois d’un ressort situé en dehors du </w:t>
            </w:r>
            <w:r>
              <w:rPr>
                <w:rFonts w:ascii="Arial" w:eastAsia="Arial" w:hAnsi="Arial" w:cs="Arial"/>
                <w:spacing w:val="-1"/>
                <w:sz w:val="24"/>
                <w:szCs w:val="24"/>
              </w:rPr>
              <w:t>C</w:t>
            </w:r>
            <w:r>
              <w:rPr>
                <w:rFonts w:ascii="Arial" w:eastAsia="Arial" w:hAnsi="Arial" w:cs="Arial"/>
                <w:sz w:val="24"/>
                <w:szCs w:val="24"/>
              </w:rPr>
              <w:t>ana</w:t>
            </w:r>
            <w:r>
              <w:rPr>
                <w:rFonts w:ascii="Arial" w:eastAsia="Arial" w:hAnsi="Arial" w:cs="Arial"/>
                <w:spacing w:val="-2"/>
                <w:sz w:val="24"/>
                <w:szCs w:val="24"/>
              </w:rPr>
              <w:t>d</w:t>
            </w:r>
            <w:r>
              <w:rPr>
                <w:rFonts w:ascii="Arial" w:eastAsia="Arial" w:hAnsi="Arial" w:cs="Arial"/>
                <w:sz w:val="24"/>
                <w:szCs w:val="24"/>
              </w:rPr>
              <w:t>a, mais faisant des affaires en Onta</w:t>
            </w:r>
            <w:r>
              <w:rPr>
                <w:rFonts w:ascii="Arial" w:eastAsia="Arial" w:hAnsi="Arial" w:cs="Arial"/>
                <w:spacing w:val="-1"/>
                <w:sz w:val="24"/>
                <w:szCs w:val="24"/>
              </w:rPr>
              <w:t>ri</w:t>
            </w:r>
            <w:r>
              <w:rPr>
                <w:rFonts w:ascii="Arial" w:eastAsia="Arial" w:hAnsi="Arial" w:cs="Arial"/>
                <w:sz w:val="24"/>
                <w:szCs w:val="24"/>
              </w:rPr>
              <w:t>o</w:t>
            </w:r>
          </w:p>
        </w:tc>
      </w:tr>
      <w:tr w:rsidR="007A09EB" w:rsidTr="007A09EB">
        <w:trPr>
          <w:trHeight w:hRule="exact" w:val="854"/>
        </w:trPr>
        <w:tc>
          <w:tcPr>
            <w:tcW w:w="2767" w:type="dxa"/>
            <w:tcBorders>
              <w:top w:val="single" w:sz="5" w:space="0" w:color="000000"/>
              <w:left w:val="single" w:sz="5" w:space="0" w:color="000000"/>
              <w:bottom w:val="single" w:sz="5" w:space="0" w:color="000000"/>
              <w:right w:val="single" w:sz="5" w:space="0" w:color="000000"/>
            </w:tcBorders>
          </w:tcPr>
          <w:p w:rsidR="007A09EB" w:rsidRDefault="007A09EB" w:rsidP="007A09EB">
            <w:pPr>
              <w:pStyle w:val="TableParagraph"/>
              <w:spacing w:line="271" w:lineRule="exact"/>
              <w:ind w:left="102"/>
              <w:rPr>
                <w:rFonts w:ascii="Arial" w:eastAsia="Arial" w:hAnsi="Arial" w:cs="Arial"/>
                <w:sz w:val="24"/>
                <w:szCs w:val="24"/>
              </w:rPr>
            </w:pPr>
            <w:r>
              <w:rPr>
                <w:rFonts w:ascii="Arial" w:eastAsia="Arial" w:hAnsi="Arial" w:cs="Arial"/>
                <w:sz w:val="24"/>
                <w:szCs w:val="24"/>
              </w:rPr>
              <w:t>12.</w:t>
            </w:r>
            <w:r>
              <w:rPr>
                <w:rFonts w:ascii="Arial" w:eastAsia="Arial" w:hAnsi="Arial" w:cs="Arial"/>
                <w:spacing w:val="-43"/>
                <w:sz w:val="24"/>
                <w:szCs w:val="24"/>
              </w:rPr>
              <w:t xml:space="preserve"> </w:t>
            </w:r>
            <w:r>
              <w:rPr>
                <w:rFonts w:ascii="Arial" w:eastAsia="Arial" w:hAnsi="Arial" w:cs="Arial"/>
                <w:spacing w:val="-1"/>
                <w:sz w:val="24"/>
                <w:szCs w:val="24"/>
              </w:rPr>
              <w:t>Loi sur les commissionnaires</w:t>
            </w:r>
          </w:p>
        </w:tc>
        <w:tc>
          <w:tcPr>
            <w:tcW w:w="6809" w:type="dxa"/>
            <w:tcBorders>
              <w:top w:val="single" w:sz="5" w:space="0" w:color="000000"/>
              <w:left w:val="single" w:sz="5" w:space="0" w:color="000000"/>
              <w:bottom w:val="single" w:sz="5" w:space="0" w:color="000000"/>
              <w:right w:val="single" w:sz="5" w:space="0" w:color="000000"/>
            </w:tcBorders>
          </w:tcPr>
          <w:p w:rsidR="007A09EB" w:rsidRDefault="007A09EB" w:rsidP="007A09EB">
            <w:pPr>
              <w:pStyle w:val="ListParagraph"/>
              <w:numPr>
                <w:ilvl w:val="0"/>
                <w:numId w:val="8"/>
              </w:numPr>
              <w:tabs>
                <w:tab w:val="left" w:pos="462"/>
              </w:tabs>
              <w:spacing w:before="12" w:line="239" w:lineRule="auto"/>
              <w:ind w:left="462" w:right="99"/>
              <w:jc w:val="both"/>
              <w:rPr>
                <w:rFonts w:ascii="Arial" w:eastAsia="Arial" w:hAnsi="Arial" w:cs="Arial"/>
                <w:sz w:val="24"/>
                <w:szCs w:val="24"/>
              </w:rPr>
            </w:pPr>
            <w:r>
              <w:rPr>
                <w:rFonts w:ascii="Arial" w:eastAsia="Arial" w:hAnsi="Arial" w:cs="Arial"/>
                <w:spacing w:val="-1"/>
                <w:sz w:val="24"/>
                <w:szCs w:val="24"/>
              </w:rPr>
              <w:t xml:space="preserve">Permet la remise de biens (comme une vente) par un représentant, qui est en possession des biens moyennant </w:t>
            </w:r>
            <w:r w:rsidRPr="00A85672">
              <w:rPr>
                <w:rFonts w:ascii="Arial" w:eastAsia="Arial" w:hAnsi="Arial" w:cs="Arial"/>
                <w:sz w:val="24"/>
                <w:szCs w:val="24"/>
              </w:rPr>
              <w:t>le consentement de son propriétaire, et vérifie si le propriétaire a consenti à sa remise ou non</w:t>
            </w:r>
          </w:p>
        </w:tc>
      </w:tr>
      <w:tr w:rsidR="00313174" w:rsidTr="007A09EB">
        <w:trPr>
          <w:trHeight w:hRule="exact" w:val="854"/>
        </w:trPr>
        <w:tc>
          <w:tcPr>
            <w:tcW w:w="2767" w:type="dxa"/>
            <w:tcBorders>
              <w:top w:val="single" w:sz="5" w:space="0" w:color="000000"/>
              <w:left w:val="single" w:sz="5" w:space="0" w:color="000000"/>
              <w:bottom w:val="single" w:sz="5" w:space="0" w:color="000000"/>
              <w:right w:val="single" w:sz="5" w:space="0" w:color="000000"/>
            </w:tcBorders>
          </w:tcPr>
          <w:p w:rsidR="00313174" w:rsidRDefault="00313174" w:rsidP="008A530F">
            <w:pPr>
              <w:pStyle w:val="TableParagraph"/>
              <w:spacing w:before="1" w:line="276" w:lineRule="exact"/>
              <w:ind w:left="462" w:right="101" w:hanging="360"/>
              <w:rPr>
                <w:rFonts w:ascii="Arial" w:eastAsia="Arial" w:hAnsi="Arial" w:cs="Arial"/>
                <w:sz w:val="24"/>
                <w:szCs w:val="24"/>
              </w:rPr>
            </w:pPr>
            <w:r>
              <w:rPr>
                <w:rFonts w:ascii="Arial" w:eastAsia="Arial" w:hAnsi="Arial" w:cs="Arial"/>
                <w:sz w:val="24"/>
                <w:szCs w:val="24"/>
              </w:rPr>
              <w:t>13.</w:t>
            </w:r>
            <w:r>
              <w:rPr>
                <w:rFonts w:ascii="Arial" w:eastAsia="Arial" w:hAnsi="Arial" w:cs="Arial"/>
                <w:spacing w:val="-43"/>
                <w:sz w:val="24"/>
                <w:szCs w:val="24"/>
              </w:rPr>
              <w:t xml:space="preserve"> </w:t>
            </w:r>
            <w:r>
              <w:rPr>
                <w:rFonts w:ascii="Arial" w:eastAsia="Arial" w:hAnsi="Arial" w:cs="Arial"/>
                <w:sz w:val="24"/>
                <w:szCs w:val="24"/>
              </w:rPr>
              <w:t>Loi sur les sociétés en commandite</w:t>
            </w:r>
          </w:p>
        </w:tc>
        <w:tc>
          <w:tcPr>
            <w:tcW w:w="6809" w:type="dxa"/>
            <w:tcBorders>
              <w:top w:val="single" w:sz="5" w:space="0" w:color="000000"/>
              <w:left w:val="single" w:sz="5" w:space="0" w:color="000000"/>
              <w:bottom w:val="single" w:sz="5" w:space="0" w:color="000000"/>
              <w:right w:val="single" w:sz="5" w:space="0" w:color="000000"/>
            </w:tcBorders>
          </w:tcPr>
          <w:p w:rsidR="00313174" w:rsidRDefault="00313174" w:rsidP="008A530F">
            <w:pPr>
              <w:pStyle w:val="ListParagraph"/>
              <w:numPr>
                <w:ilvl w:val="0"/>
                <w:numId w:val="7"/>
              </w:numPr>
              <w:tabs>
                <w:tab w:val="left" w:pos="462"/>
              </w:tabs>
              <w:spacing w:before="14" w:line="239" w:lineRule="auto"/>
              <w:ind w:left="462" w:right="99"/>
              <w:jc w:val="both"/>
              <w:rPr>
                <w:rFonts w:ascii="Arial" w:eastAsia="Arial" w:hAnsi="Arial" w:cs="Arial"/>
                <w:sz w:val="24"/>
                <w:szCs w:val="24"/>
              </w:rPr>
            </w:pPr>
            <w:r>
              <w:rPr>
                <w:rFonts w:ascii="Arial" w:eastAsia="Arial" w:hAnsi="Arial" w:cs="Arial"/>
                <w:sz w:val="24"/>
                <w:szCs w:val="24"/>
              </w:rPr>
              <w:t>Fournit</w:t>
            </w:r>
            <w:r>
              <w:rPr>
                <w:rFonts w:ascii="Arial" w:eastAsia="Arial" w:hAnsi="Arial" w:cs="Arial"/>
                <w:spacing w:val="-1"/>
                <w:sz w:val="24"/>
                <w:szCs w:val="24"/>
              </w:rPr>
              <w:t xml:space="preserve"> un cadre législatif régissant les sociétés en commandite créées en </w:t>
            </w:r>
            <w:r>
              <w:rPr>
                <w:rFonts w:ascii="Arial" w:eastAsia="Arial" w:hAnsi="Arial" w:cs="Arial"/>
                <w:sz w:val="24"/>
                <w:szCs w:val="24"/>
              </w:rPr>
              <w:t>On</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ri</w:t>
            </w:r>
            <w:r>
              <w:rPr>
                <w:rFonts w:ascii="Arial" w:eastAsia="Arial" w:hAnsi="Arial" w:cs="Arial"/>
                <w:sz w:val="24"/>
                <w:szCs w:val="24"/>
              </w:rPr>
              <w:t>o</w:t>
            </w:r>
            <w:r>
              <w:rPr>
                <w:rFonts w:ascii="Arial" w:eastAsia="Arial" w:hAnsi="Arial" w:cs="Arial"/>
                <w:spacing w:val="18"/>
                <w:sz w:val="24"/>
                <w:szCs w:val="24"/>
              </w:rPr>
              <w:t xml:space="preserve"> </w:t>
            </w:r>
            <w:r>
              <w:rPr>
                <w:rFonts w:ascii="Arial" w:eastAsia="Arial" w:hAnsi="Arial" w:cs="Arial"/>
                <w:sz w:val="24"/>
                <w:szCs w:val="24"/>
              </w:rPr>
              <w:t>ou faisant des affaires en Onta</w:t>
            </w:r>
            <w:r>
              <w:rPr>
                <w:rFonts w:ascii="Arial" w:eastAsia="Arial" w:hAnsi="Arial" w:cs="Arial"/>
                <w:spacing w:val="-1"/>
                <w:sz w:val="24"/>
                <w:szCs w:val="24"/>
              </w:rPr>
              <w:t>ri</w:t>
            </w:r>
            <w:r>
              <w:rPr>
                <w:rFonts w:ascii="Arial" w:eastAsia="Arial" w:hAnsi="Arial" w:cs="Arial"/>
                <w:sz w:val="24"/>
                <w:szCs w:val="24"/>
              </w:rPr>
              <w:t>o,</w:t>
            </w:r>
            <w:r>
              <w:rPr>
                <w:rFonts w:ascii="Arial" w:eastAsia="Arial" w:hAnsi="Arial" w:cs="Arial"/>
                <w:spacing w:val="30"/>
                <w:sz w:val="24"/>
                <w:szCs w:val="24"/>
              </w:rPr>
              <w:t xml:space="preserve"> </w:t>
            </w:r>
            <w:r>
              <w:rPr>
                <w:rFonts w:ascii="Arial" w:eastAsia="Arial" w:hAnsi="Arial" w:cs="Arial"/>
                <w:sz w:val="24"/>
                <w:szCs w:val="24"/>
              </w:rPr>
              <w:t>et prévoit un registre d’information public et central</w:t>
            </w:r>
          </w:p>
        </w:tc>
      </w:tr>
      <w:tr w:rsidR="00313174" w:rsidTr="007A09EB">
        <w:trPr>
          <w:trHeight w:hRule="exact" w:val="854"/>
        </w:trPr>
        <w:tc>
          <w:tcPr>
            <w:tcW w:w="2767" w:type="dxa"/>
            <w:tcBorders>
              <w:top w:val="single" w:sz="5" w:space="0" w:color="000000"/>
              <w:left w:val="single" w:sz="5" w:space="0" w:color="000000"/>
              <w:bottom w:val="single" w:sz="5" w:space="0" w:color="000000"/>
              <w:right w:val="single" w:sz="5" w:space="0" w:color="000000"/>
            </w:tcBorders>
          </w:tcPr>
          <w:p w:rsidR="00313174" w:rsidRDefault="00313174" w:rsidP="008A530F">
            <w:pPr>
              <w:pStyle w:val="TableParagraph"/>
              <w:spacing w:line="271" w:lineRule="exact"/>
              <w:ind w:left="102"/>
              <w:rPr>
                <w:rFonts w:ascii="Arial" w:eastAsia="Arial" w:hAnsi="Arial" w:cs="Arial"/>
                <w:sz w:val="24"/>
                <w:szCs w:val="24"/>
              </w:rPr>
            </w:pPr>
            <w:r>
              <w:rPr>
                <w:rFonts w:ascii="Arial" w:eastAsia="Arial" w:hAnsi="Arial" w:cs="Arial"/>
                <w:sz w:val="24"/>
                <w:szCs w:val="24"/>
              </w:rPr>
              <w:t>14.</w:t>
            </w:r>
            <w:r>
              <w:rPr>
                <w:rFonts w:ascii="Arial" w:eastAsia="Arial" w:hAnsi="Arial" w:cs="Arial"/>
                <w:spacing w:val="-43"/>
                <w:sz w:val="24"/>
                <w:szCs w:val="24"/>
              </w:rPr>
              <w:t xml:space="preserve"> </w:t>
            </w:r>
            <w:r>
              <w:rPr>
                <w:rFonts w:ascii="Arial" w:eastAsia="Arial" w:hAnsi="Arial" w:cs="Arial"/>
                <w:spacing w:val="-1"/>
                <w:sz w:val="24"/>
                <w:szCs w:val="24"/>
              </w:rPr>
              <w:t>Loi de 2010 sur les organisations sans but lucratif</w:t>
            </w:r>
          </w:p>
        </w:tc>
        <w:tc>
          <w:tcPr>
            <w:tcW w:w="6809" w:type="dxa"/>
            <w:tcBorders>
              <w:top w:val="single" w:sz="5" w:space="0" w:color="000000"/>
              <w:left w:val="single" w:sz="5" w:space="0" w:color="000000"/>
              <w:bottom w:val="single" w:sz="5" w:space="0" w:color="000000"/>
              <w:right w:val="single" w:sz="5" w:space="0" w:color="000000"/>
            </w:tcBorders>
          </w:tcPr>
          <w:p w:rsidR="00313174" w:rsidRDefault="00313174" w:rsidP="008A530F">
            <w:pPr>
              <w:pStyle w:val="ListParagraph"/>
              <w:numPr>
                <w:ilvl w:val="0"/>
                <w:numId w:val="6"/>
              </w:numPr>
              <w:tabs>
                <w:tab w:val="left" w:pos="462"/>
              </w:tabs>
              <w:spacing w:before="11"/>
              <w:ind w:left="462" w:right="98"/>
              <w:jc w:val="both"/>
              <w:rPr>
                <w:rFonts w:ascii="Arial" w:eastAsia="Arial" w:hAnsi="Arial" w:cs="Arial"/>
                <w:sz w:val="24"/>
                <w:szCs w:val="24"/>
              </w:rPr>
            </w:pPr>
            <w:r>
              <w:rPr>
                <w:rFonts w:ascii="Arial" w:eastAsia="Arial" w:hAnsi="Arial" w:cs="Arial"/>
                <w:sz w:val="24"/>
                <w:szCs w:val="24"/>
              </w:rPr>
              <w:t xml:space="preserve">Fournit un cadre législatif pour la régie de sociétés sans </w:t>
            </w:r>
            <w:r w:rsidRPr="00A85672">
              <w:rPr>
                <w:rFonts w:ascii="Arial" w:eastAsia="Arial" w:hAnsi="Arial" w:cs="Arial"/>
                <w:sz w:val="24"/>
                <w:szCs w:val="24"/>
              </w:rPr>
              <w:t xml:space="preserve">but lucratif en Ontario; loi ayant reçu la </w:t>
            </w:r>
            <w:r>
              <w:rPr>
                <w:rFonts w:ascii="Arial" w:eastAsia="Arial" w:hAnsi="Arial" w:cs="Arial"/>
                <w:sz w:val="24"/>
                <w:szCs w:val="24"/>
              </w:rPr>
              <w:t>sanction</w:t>
            </w:r>
            <w:r w:rsidRPr="00A85672">
              <w:rPr>
                <w:rFonts w:ascii="Arial" w:eastAsia="Arial" w:hAnsi="Arial" w:cs="Arial"/>
                <w:sz w:val="24"/>
                <w:szCs w:val="24"/>
              </w:rPr>
              <w:t xml:space="preserve"> royale le 25 octobre 2010, sans toutefois être en vigueur. Une fois en vigueur, elle facilitera la constitution en société, la gouvernance interne et la dissolution des sociétés sans but lucratif</w:t>
            </w:r>
          </w:p>
        </w:tc>
      </w:tr>
      <w:tr w:rsidR="00313174" w:rsidTr="007A09EB">
        <w:trPr>
          <w:trHeight w:hRule="exact" w:val="854"/>
        </w:trPr>
        <w:tc>
          <w:tcPr>
            <w:tcW w:w="2767" w:type="dxa"/>
            <w:tcBorders>
              <w:top w:val="single" w:sz="5" w:space="0" w:color="000000"/>
              <w:left w:val="single" w:sz="5" w:space="0" w:color="000000"/>
              <w:bottom w:val="single" w:sz="5" w:space="0" w:color="000000"/>
              <w:right w:val="single" w:sz="5" w:space="0" w:color="000000"/>
            </w:tcBorders>
          </w:tcPr>
          <w:p w:rsidR="00313174" w:rsidRDefault="00313174" w:rsidP="008A530F">
            <w:pPr>
              <w:pStyle w:val="TableParagraph"/>
              <w:spacing w:line="271" w:lineRule="exact"/>
              <w:ind w:left="102"/>
              <w:rPr>
                <w:rFonts w:ascii="Arial" w:eastAsia="Arial" w:hAnsi="Arial" w:cs="Arial"/>
                <w:sz w:val="24"/>
                <w:szCs w:val="24"/>
              </w:rPr>
            </w:pPr>
            <w:r>
              <w:rPr>
                <w:rFonts w:ascii="Arial" w:eastAsia="Arial" w:hAnsi="Arial" w:cs="Arial"/>
                <w:sz w:val="24"/>
                <w:szCs w:val="24"/>
              </w:rPr>
              <w:t>15.</w:t>
            </w:r>
            <w:r>
              <w:rPr>
                <w:rFonts w:ascii="Arial" w:eastAsia="Arial" w:hAnsi="Arial" w:cs="Arial"/>
                <w:spacing w:val="-43"/>
                <w:sz w:val="24"/>
                <w:szCs w:val="24"/>
              </w:rPr>
              <w:t xml:space="preserve"> </w:t>
            </w:r>
            <w:r>
              <w:rPr>
                <w:rFonts w:ascii="Arial" w:eastAsia="Arial" w:hAnsi="Arial" w:cs="Arial"/>
                <w:sz w:val="24"/>
                <w:szCs w:val="24"/>
              </w:rPr>
              <w:t>Loi sur les sociétés en nom collectif</w:t>
            </w:r>
          </w:p>
        </w:tc>
        <w:tc>
          <w:tcPr>
            <w:tcW w:w="6809" w:type="dxa"/>
            <w:tcBorders>
              <w:top w:val="single" w:sz="5" w:space="0" w:color="000000"/>
              <w:left w:val="single" w:sz="5" w:space="0" w:color="000000"/>
              <w:bottom w:val="single" w:sz="5" w:space="0" w:color="000000"/>
              <w:right w:val="single" w:sz="5" w:space="0" w:color="000000"/>
            </w:tcBorders>
          </w:tcPr>
          <w:p w:rsidR="00313174" w:rsidRDefault="00313174" w:rsidP="008A530F">
            <w:pPr>
              <w:pStyle w:val="ListParagraph"/>
              <w:numPr>
                <w:ilvl w:val="0"/>
                <w:numId w:val="5"/>
              </w:numPr>
              <w:tabs>
                <w:tab w:val="left" w:pos="462"/>
              </w:tabs>
              <w:spacing w:before="11"/>
              <w:ind w:left="462" w:right="98"/>
              <w:jc w:val="both"/>
              <w:rPr>
                <w:rFonts w:ascii="Arial" w:eastAsia="Arial" w:hAnsi="Arial" w:cs="Arial"/>
                <w:sz w:val="24"/>
                <w:szCs w:val="24"/>
              </w:rPr>
            </w:pPr>
            <w:r>
              <w:rPr>
                <w:rFonts w:ascii="Arial" w:eastAsia="Arial" w:hAnsi="Arial" w:cs="Arial"/>
                <w:sz w:val="24"/>
                <w:szCs w:val="24"/>
              </w:rPr>
              <w:t>Fournit le cadre législatif régissant les sociétés en nom collectif en On</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ri</w:t>
            </w:r>
            <w:r>
              <w:rPr>
                <w:rFonts w:ascii="Arial" w:eastAsia="Arial" w:hAnsi="Arial" w:cs="Arial"/>
                <w:sz w:val="24"/>
                <w:szCs w:val="24"/>
              </w:rPr>
              <w:t>o,</w:t>
            </w:r>
            <w:r>
              <w:rPr>
                <w:rFonts w:ascii="Arial" w:eastAsia="Arial" w:hAnsi="Arial" w:cs="Arial"/>
                <w:spacing w:val="24"/>
                <w:sz w:val="24"/>
                <w:szCs w:val="24"/>
              </w:rPr>
              <w:t xml:space="preserve"> concernant </w:t>
            </w:r>
            <w:r>
              <w:rPr>
                <w:rFonts w:ascii="Arial" w:eastAsia="Arial" w:hAnsi="Arial" w:cs="Arial"/>
                <w:spacing w:val="-1"/>
                <w:sz w:val="24"/>
                <w:szCs w:val="24"/>
              </w:rPr>
              <w:t>notamment leur formation et leur</w:t>
            </w:r>
            <w:r>
              <w:rPr>
                <w:rFonts w:ascii="Arial" w:eastAsia="Arial" w:hAnsi="Arial" w:cs="Arial"/>
                <w:spacing w:val="23"/>
                <w:sz w:val="24"/>
                <w:szCs w:val="24"/>
              </w:rPr>
              <w:t xml:space="preserve"> </w:t>
            </w:r>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z w:val="24"/>
                <w:szCs w:val="24"/>
              </w:rPr>
              <w:t>sso</w:t>
            </w:r>
            <w:r>
              <w:rPr>
                <w:rFonts w:ascii="Arial" w:eastAsia="Arial" w:hAnsi="Arial" w:cs="Arial"/>
                <w:spacing w:val="-3"/>
                <w:sz w:val="24"/>
                <w:szCs w:val="24"/>
              </w:rPr>
              <w:t>l</w:t>
            </w:r>
            <w:r>
              <w:rPr>
                <w:rFonts w:ascii="Arial" w:eastAsia="Arial" w:hAnsi="Arial" w:cs="Arial"/>
                <w:sz w:val="24"/>
                <w:szCs w:val="24"/>
              </w:rPr>
              <w:t>ut</w:t>
            </w:r>
            <w:r>
              <w:rPr>
                <w:rFonts w:ascii="Arial" w:eastAsia="Arial" w:hAnsi="Arial" w:cs="Arial"/>
                <w:spacing w:val="-3"/>
                <w:sz w:val="24"/>
                <w:szCs w:val="24"/>
              </w:rPr>
              <w:t>i</w:t>
            </w:r>
            <w:r>
              <w:rPr>
                <w:rFonts w:ascii="Arial" w:eastAsia="Arial" w:hAnsi="Arial" w:cs="Arial"/>
                <w:sz w:val="24"/>
                <w:szCs w:val="24"/>
              </w:rPr>
              <w:t>on,</w:t>
            </w:r>
            <w:r>
              <w:rPr>
                <w:rFonts w:ascii="Arial" w:eastAsia="Arial" w:hAnsi="Arial" w:cs="Arial"/>
                <w:spacing w:val="22"/>
                <w:sz w:val="24"/>
                <w:szCs w:val="24"/>
              </w:rPr>
              <w:t xml:space="preserve"> </w:t>
            </w:r>
            <w:r>
              <w:rPr>
                <w:rFonts w:ascii="Arial" w:eastAsia="Arial" w:hAnsi="Arial" w:cs="Arial"/>
                <w:sz w:val="24"/>
                <w:szCs w:val="24"/>
              </w:rPr>
              <w:t>ainsi que les relations entre les associés, puis entre les sociétés en nom collectif et le grand public</w:t>
            </w:r>
          </w:p>
        </w:tc>
      </w:tr>
      <w:tr w:rsidR="00313174" w:rsidTr="007A09EB">
        <w:trPr>
          <w:trHeight w:hRule="exact" w:val="854"/>
        </w:trPr>
        <w:tc>
          <w:tcPr>
            <w:tcW w:w="2767" w:type="dxa"/>
            <w:tcBorders>
              <w:top w:val="single" w:sz="5" w:space="0" w:color="000000"/>
              <w:left w:val="single" w:sz="5" w:space="0" w:color="000000"/>
              <w:bottom w:val="single" w:sz="5" w:space="0" w:color="000000"/>
              <w:right w:val="single" w:sz="5" w:space="0" w:color="000000"/>
            </w:tcBorders>
          </w:tcPr>
          <w:p w:rsidR="00313174" w:rsidRDefault="00313174" w:rsidP="008A530F">
            <w:pPr>
              <w:pStyle w:val="TableParagraph"/>
              <w:spacing w:line="271" w:lineRule="exact"/>
              <w:ind w:left="102"/>
              <w:rPr>
                <w:rFonts w:ascii="Arial" w:eastAsia="Arial" w:hAnsi="Arial" w:cs="Arial"/>
                <w:sz w:val="24"/>
                <w:szCs w:val="24"/>
              </w:rPr>
            </w:pPr>
            <w:r>
              <w:rPr>
                <w:rFonts w:ascii="Arial" w:eastAsia="Arial" w:hAnsi="Arial" w:cs="Arial"/>
                <w:sz w:val="24"/>
                <w:szCs w:val="24"/>
              </w:rPr>
              <w:t>16.</w:t>
            </w:r>
            <w:r>
              <w:rPr>
                <w:rFonts w:ascii="Arial" w:eastAsia="Arial" w:hAnsi="Arial" w:cs="Arial"/>
                <w:spacing w:val="-43"/>
                <w:sz w:val="24"/>
                <w:szCs w:val="24"/>
              </w:rPr>
              <w:t xml:space="preserve"> </w:t>
            </w:r>
            <w:r>
              <w:rPr>
                <w:rFonts w:ascii="Arial" w:eastAsia="Arial" w:hAnsi="Arial" w:cs="Arial"/>
                <w:sz w:val="24"/>
                <w:szCs w:val="24"/>
              </w:rPr>
              <w:t>Loi sur les sûretés mobilières</w:t>
            </w:r>
          </w:p>
        </w:tc>
        <w:tc>
          <w:tcPr>
            <w:tcW w:w="6809" w:type="dxa"/>
            <w:tcBorders>
              <w:top w:val="single" w:sz="5" w:space="0" w:color="000000"/>
              <w:left w:val="single" w:sz="5" w:space="0" w:color="000000"/>
              <w:bottom w:val="single" w:sz="5" w:space="0" w:color="000000"/>
              <w:right w:val="single" w:sz="5" w:space="0" w:color="000000"/>
            </w:tcBorders>
          </w:tcPr>
          <w:p w:rsidR="00313174" w:rsidRDefault="00313174" w:rsidP="008A530F">
            <w:pPr>
              <w:pStyle w:val="ListParagraph"/>
              <w:numPr>
                <w:ilvl w:val="0"/>
                <w:numId w:val="4"/>
              </w:numPr>
              <w:tabs>
                <w:tab w:val="left" w:pos="462"/>
              </w:tabs>
              <w:spacing w:before="11"/>
              <w:ind w:left="462" w:right="100"/>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résente un cadre législatif régissant les sûretés mobilières et un système d’enregistrement avec i</w:t>
            </w:r>
            <w:r>
              <w:rPr>
                <w:rFonts w:ascii="Arial" w:eastAsia="Arial" w:hAnsi="Arial" w:cs="Arial"/>
                <w:sz w:val="24"/>
                <w:szCs w:val="24"/>
              </w:rPr>
              <w:t>n</w:t>
            </w:r>
            <w:r>
              <w:rPr>
                <w:rFonts w:ascii="Arial" w:eastAsia="Arial" w:hAnsi="Arial" w:cs="Arial"/>
                <w:spacing w:val="2"/>
                <w:sz w:val="24"/>
                <w:szCs w:val="24"/>
              </w:rPr>
              <w:t>f</w:t>
            </w:r>
            <w:r>
              <w:rPr>
                <w:rFonts w:ascii="Arial" w:eastAsia="Arial" w:hAnsi="Arial" w:cs="Arial"/>
                <w:sz w:val="24"/>
                <w:szCs w:val="24"/>
              </w:rPr>
              <w:t>o</w:t>
            </w:r>
            <w:r>
              <w:rPr>
                <w:rFonts w:ascii="Arial" w:eastAsia="Arial" w:hAnsi="Arial" w:cs="Arial"/>
                <w:spacing w:val="-4"/>
                <w:sz w:val="24"/>
                <w:szCs w:val="24"/>
              </w:rPr>
              <w:t>r</w:t>
            </w:r>
            <w:r>
              <w:rPr>
                <w:rFonts w:ascii="Arial" w:eastAsia="Arial" w:hAnsi="Arial" w:cs="Arial"/>
                <w:spacing w:val="1"/>
                <w:sz w:val="24"/>
                <w:szCs w:val="24"/>
              </w:rPr>
              <w:t>m</w:t>
            </w:r>
            <w:r>
              <w:rPr>
                <w:rFonts w:ascii="Arial" w:eastAsia="Arial" w:hAnsi="Arial" w:cs="Arial"/>
                <w:sz w:val="24"/>
                <w:szCs w:val="24"/>
              </w:rPr>
              <w:t>at</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à la disposition du grand public</w:t>
            </w:r>
          </w:p>
        </w:tc>
      </w:tr>
      <w:tr w:rsidR="00313174" w:rsidTr="007A09EB">
        <w:trPr>
          <w:trHeight w:hRule="exact" w:val="854"/>
        </w:trPr>
        <w:tc>
          <w:tcPr>
            <w:tcW w:w="2767" w:type="dxa"/>
            <w:tcBorders>
              <w:top w:val="single" w:sz="5" w:space="0" w:color="000000"/>
              <w:left w:val="single" w:sz="5" w:space="0" w:color="000000"/>
              <w:bottom w:val="single" w:sz="5" w:space="0" w:color="000000"/>
              <w:right w:val="single" w:sz="5" w:space="0" w:color="000000"/>
            </w:tcBorders>
          </w:tcPr>
          <w:p w:rsidR="00313174" w:rsidRDefault="00313174" w:rsidP="008A530F">
            <w:pPr>
              <w:pStyle w:val="TableParagraph"/>
              <w:spacing w:line="271" w:lineRule="exact"/>
              <w:ind w:left="102"/>
              <w:rPr>
                <w:rFonts w:ascii="Arial" w:eastAsia="Arial" w:hAnsi="Arial" w:cs="Arial"/>
                <w:sz w:val="24"/>
                <w:szCs w:val="24"/>
              </w:rPr>
            </w:pPr>
            <w:r>
              <w:rPr>
                <w:rFonts w:ascii="Arial" w:eastAsia="Arial" w:hAnsi="Arial" w:cs="Arial"/>
                <w:sz w:val="24"/>
                <w:szCs w:val="24"/>
              </w:rPr>
              <w:t>17.</w:t>
            </w:r>
            <w:r>
              <w:rPr>
                <w:rFonts w:ascii="Arial" w:eastAsia="Arial" w:hAnsi="Arial" w:cs="Arial"/>
                <w:spacing w:val="-43"/>
                <w:sz w:val="24"/>
                <w:szCs w:val="24"/>
              </w:rPr>
              <w:t xml:space="preserve"> </w:t>
            </w:r>
            <w:r>
              <w:rPr>
                <w:rFonts w:ascii="Arial" w:eastAsia="Arial" w:hAnsi="Arial" w:cs="Arial"/>
                <w:spacing w:val="-1"/>
                <w:sz w:val="24"/>
                <w:szCs w:val="24"/>
              </w:rPr>
              <w:t>Loi sur le privilège des réparateurs et des entreposeurs</w:t>
            </w:r>
          </w:p>
        </w:tc>
        <w:tc>
          <w:tcPr>
            <w:tcW w:w="6809" w:type="dxa"/>
            <w:tcBorders>
              <w:top w:val="single" w:sz="5" w:space="0" w:color="000000"/>
              <w:left w:val="single" w:sz="5" w:space="0" w:color="000000"/>
              <w:bottom w:val="single" w:sz="5" w:space="0" w:color="000000"/>
              <w:right w:val="single" w:sz="5" w:space="0" w:color="000000"/>
            </w:tcBorders>
          </w:tcPr>
          <w:p w:rsidR="00313174" w:rsidRDefault="00313174" w:rsidP="008A530F">
            <w:pPr>
              <w:pStyle w:val="ListParagraph"/>
              <w:numPr>
                <w:ilvl w:val="0"/>
                <w:numId w:val="3"/>
              </w:numPr>
              <w:tabs>
                <w:tab w:val="left" w:pos="462"/>
              </w:tabs>
              <w:spacing w:before="11"/>
              <w:ind w:left="462" w:right="98"/>
              <w:jc w:val="both"/>
              <w:rPr>
                <w:rFonts w:ascii="Arial" w:eastAsia="Arial" w:hAnsi="Arial" w:cs="Arial"/>
                <w:sz w:val="24"/>
                <w:szCs w:val="24"/>
              </w:rPr>
            </w:pPr>
            <w:r>
              <w:rPr>
                <w:rFonts w:ascii="Arial" w:eastAsia="Arial" w:hAnsi="Arial" w:cs="Arial"/>
                <w:sz w:val="24"/>
                <w:szCs w:val="24"/>
              </w:rPr>
              <w:t>Régit les droits des personnes à un privilège qui a pour effet de maintenir ou d’augmenter la valeur d’un certain bien personnel (comme un véhicule) par le biais de services de réparation et/ou d’entreposage; les règles de priorité sont établies dans le but de résoudre les conflits entre les personnes réclamant un privilège et les autres personnes ayant une participation dans la propriété</w:t>
            </w:r>
          </w:p>
        </w:tc>
      </w:tr>
      <w:tr w:rsidR="00313174" w:rsidTr="007A09EB">
        <w:trPr>
          <w:trHeight w:hRule="exact" w:val="854"/>
        </w:trPr>
        <w:tc>
          <w:tcPr>
            <w:tcW w:w="2767" w:type="dxa"/>
            <w:tcBorders>
              <w:top w:val="single" w:sz="5" w:space="0" w:color="000000"/>
              <w:left w:val="single" w:sz="5" w:space="0" w:color="000000"/>
              <w:bottom w:val="single" w:sz="5" w:space="0" w:color="000000"/>
              <w:right w:val="single" w:sz="5" w:space="0" w:color="000000"/>
            </w:tcBorders>
          </w:tcPr>
          <w:p w:rsidR="00313174" w:rsidRDefault="00313174" w:rsidP="008A530F">
            <w:pPr>
              <w:pStyle w:val="TableParagraph"/>
              <w:spacing w:line="271" w:lineRule="exact"/>
              <w:ind w:right="535"/>
              <w:jc w:val="center"/>
              <w:rPr>
                <w:rFonts w:ascii="Arial" w:eastAsia="Arial" w:hAnsi="Arial" w:cs="Arial"/>
                <w:sz w:val="24"/>
                <w:szCs w:val="24"/>
              </w:rPr>
            </w:pPr>
            <w:r>
              <w:rPr>
                <w:rFonts w:ascii="Arial" w:eastAsia="Arial" w:hAnsi="Arial" w:cs="Arial"/>
                <w:sz w:val="24"/>
                <w:szCs w:val="24"/>
              </w:rPr>
              <w:t>18.</w:t>
            </w:r>
            <w:r>
              <w:rPr>
                <w:rFonts w:ascii="Arial" w:eastAsia="Arial" w:hAnsi="Arial" w:cs="Arial"/>
                <w:spacing w:val="-43"/>
                <w:sz w:val="24"/>
                <w:szCs w:val="24"/>
              </w:rPr>
              <w:t xml:space="preserve"> </w:t>
            </w:r>
            <w:r>
              <w:rPr>
                <w:rFonts w:ascii="Arial" w:eastAsia="Arial" w:hAnsi="Arial" w:cs="Arial"/>
                <w:spacing w:val="-1"/>
                <w:sz w:val="24"/>
                <w:szCs w:val="24"/>
              </w:rPr>
              <w:t>Loi sur les jours fériés dans le commerce de détail</w:t>
            </w:r>
          </w:p>
        </w:tc>
        <w:tc>
          <w:tcPr>
            <w:tcW w:w="6809" w:type="dxa"/>
            <w:tcBorders>
              <w:top w:val="single" w:sz="5" w:space="0" w:color="000000"/>
              <w:left w:val="single" w:sz="5" w:space="0" w:color="000000"/>
              <w:bottom w:val="single" w:sz="5" w:space="0" w:color="000000"/>
              <w:right w:val="single" w:sz="5" w:space="0" w:color="000000"/>
            </w:tcBorders>
          </w:tcPr>
          <w:p w:rsidR="00313174" w:rsidRDefault="00313174" w:rsidP="008A530F">
            <w:pPr>
              <w:pStyle w:val="ListParagraph"/>
              <w:numPr>
                <w:ilvl w:val="0"/>
                <w:numId w:val="2"/>
              </w:numPr>
              <w:tabs>
                <w:tab w:val="left" w:pos="462"/>
              </w:tabs>
              <w:spacing w:before="12" w:line="239" w:lineRule="auto"/>
              <w:ind w:left="462" w:right="98"/>
              <w:jc w:val="both"/>
              <w:rPr>
                <w:rFonts w:ascii="Arial" w:eastAsia="Arial" w:hAnsi="Arial" w:cs="Arial"/>
                <w:sz w:val="24"/>
                <w:szCs w:val="24"/>
              </w:rPr>
            </w:pPr>
            <w:r>
              <w:rPr>
                <w:rFonts w:ascii="Arial" w:eastAsia="Arial" w:hAnsi="Arial" w:cs="Arial"/>
                <w:sz w:val="24"/>
                <w:szCs w:val="24"/>
              </w:rPr>
              <w:t>Déclare certains jours de l’année comme fériés, pendant lesquels les commerces de détail peuvent fermer; cette exigence est assujettie à certaines exceptions pour les commerces se trouvant dans des lieux touristiques pour lesquels la municipalité a déjà accordé une exemption; les pharmacies peuvent également faire l’objet d’e</w:t>
            </w:r>
            <w:r>
              <w:rPr>
                <w:rFonts w:ascii="Arial" w:eastAsia="Arial" w:hAnsi="Arial" w:cs="Arial"/>
                <w:spacing w:val="-3"/>
                <w:sz w:val="24"/>
                <w:szCs w:val="24"/>
              </w:rPr>
              <w:t>x</w:t>
            </w:r>
            <w:r>
              <w:rPr>
                <w:rFonts w:ascii="Arial" w:eastAsia="Arial" w:hAnsi="Arial" w:cs="Arial"/>
                <w:sz w:val="24"/>
                <w:szCs w:val="24"/>
              </w:rPr>
              <w:t>e</w:t>
            </w:r>
            <w:r>
              <w:rPr>
                <w:rFonts w:ascii="Arial" w:eastAsia="Arial" w:hAnsi="Arial" w:cs="Arial"/>
                <w:spacing w:val="1"/>
                <w:sz w:val="24"/>
                <w:szCs w:val="24"/>
              </w:rPr>
              <w:t>m</w:t>
            </w:r>
            <w:r>
              <w:rPr>
                <w:rFonts w:ascii="Arial" w:eastAsia="Arial" w:hAnsi="Arial" w:cs="Arial"/>
                <w:spacing w:val="-2"/>
                <w:sz w:val="24"/>
                <w:szCs w:val="24"/>
              </w:rPr>
              <w:t>p</w:t>
            </w:r>
            <w:r>
              <w:rPr>
                <w:rFonts w:ascii="Arial" w:eastAsia="Arial" w:hAnsi="Arial" w:cs="Arial"/>
                <w:sz w:val="24"/>
                <w:szCs w:val="24"/>
              </w:rPr>
              <w:t>t</w:t>
            </w:r>
            <w:r>
              <w:rPr>
                <w:rFonts w:ascii="Arial" w:eastAsia="Arial" w:hAnsi="Arial" w:cs="Arial"/>
                <w:spacing w:val="-1"/>
                <w:sz w:val="24"/>
                <w:szCs w:val="24"/>
              </w:rPr>
              <w:t>i</w:t>
            </w:r>
            <w:r>
              <w:rPr>
                <w:rFonts w:ascii="Arial" w:eastAsia="Arial" w:hAnsi="Arial" w:cs="Arial"/>
                <w:sz w:val="24"/>
                <w:szCs w:val="24"/>
              </w:rPr>
              <w:t>ons</w:t>
            </w:r>
            <w:r>
              <w:rPr>
                <w:rFonts w:ascii="Arial" w:eastAsia="Arial" w:hAnsi="Arial" w:cs="Arial"/>
                <w:spacing w:val="-1"/>
                <w:sz w:val="24"/>
                <w:szCs w:val="24"/>
              </w:rPr>
              <w:t xml:space="preserve"> </w:t>
            </w:r>
            <w:r>
              <w:rPr>
                <w:rFonts w:ascii="Arial" w:eastAsia="Arial" w:hAnsi="Arial" w:cs="Arial"/>
                <w:spacing w:val="-2"/>
                <w:sz w:val="24"/>
                <w:szCs w:val="24"/>
              </w:rPr>
              <w:t>ph</w:t>
            </w:r>
            <w:r>
              <w:rPr>
                <w:rFonts w:ascii="Arial" w:eastAsia="Arial" w:hAnsi="Arial" w:cs="Arial"/>
                <w:sz w:val="24"/>
                <w:szCs w:val="24"/>
              </w:rPr>
              <w:t>a</w:t>
            </w:r>
            <w:r>
              <w:rPr>
                <w:rFonts w:ascii="Arial" w:eastAsia="Arial" w:hAnsi="Arial" w:cs="Arial"/>
                <w:spacing w:val="-1"/>
                <w:sz w:val="24"/>
                <w:szCs w:val="24"/>
              </w:rPr>
              <w:t>r</w:t>
            </w:r>
            <w:r>
              <w:rPr>
                <w:rFonts w:ascii="Arial" w:eastAsia="Arial" w:hAnsi="Arial" w:cs="Arial"/>
                <w:spacing w:val="1"/>
                <w:sz w:val="24"/>
                <w:szCs w:val="24"/>
              </w:rPr>
              <w:t>m</w:t>
            </w:r>
            <w:r>
              <w:rPr>
                <w:rFonts w:ascii="Arial" w:eastAsia="Arial" w:hAnsi="Arial" w:cs="Arial"/>
                <w:sz w:val="24"/>
                <w:szCs w:val="24"/>
              </w:rPr>
              <w:t>ac</w:t>
            </w:r>
            <w:r>
              <w:rPr>
                <w:rFonts w:ascii="Arial" w:eastAsia="Arial" w:hAnsi="Arial" w:cs="Arial"/>
                <w:spacing w:val="-1"/>
                <w:sz w:val="24"/>
                <w:szCs w:val="24"/>
              </w:rPr>
              <w:t>i</w:t>
            </w:r>
            <w:r>
              <w:rPr>
                <w:rFonts w:ascii="Arial" w:eastAsia="Arial" w:hAnsi="Arial" w:cs="Arial"/>
                <w:sz w:val="24"/>
                <w:szCs w:val="24"/>
              </w:rPr>
              <w:t>e</w:t>
            </w:r>
            <w:r>
              <w:rPr>
                <w:rFonts w:ascii="Arial" w:eastAsia="Arial" w:hAnsi="Arial" w:cs="Arial"/>
                <w:spacing w:val="-3"/>
                <w:sz w:val="24"/>
                <w:szCs w:val="24"/>
              </w:rPr>
              <w:t>s</w:t>
            </w:r>
            <w:r>
              <w:rPr>
                <w:rFonts w:ascii="Arial" w:eastAsia="Arial" w:hAnsi="Arial" w:cs="Arial"/>
                <w:sz w:val="24"/>
                <w:szCs w:val="24"/>
              </w:rPr>
              <w:t>.</w:t>
            </w:r>
          </w:p>
        </w:tc>
      </w:tr>
      <w:tr w:rsidR="00313174" w:rsidTr="007A09EB">
        <w:trPr>
          <w:trHeight w:hRule="exact" w:val="854"/>
        </w:trPr>
        <w:tc>
          <w:tcPr>
            <w:tcW w:w="2767" w:type="dxa"/>
            <w:tcBorders>
              <w:top w:val="single" w:sz="5" w:space="0" w:color="000000"/>
              <w:left w:val="single" w:sz="5" w:space="0" w:color="000000"/>
              <w:bottom w:val="single" w:sz="5" w:space="0" w:color="000000"/>
              <w:right w:val="single" w:sz="5" w:space="0" w:color="000000"/>
            </w:tcBorders>
          </w:tcPr>
          <w:p w:rsidR="00313174" w:rsidRDefault="00313174" w:rsidP="008A530F">
            <w:pPr>
              <w:pStyle w:val="TableParagraph"/>
              <w:spacing w:line="273" w:lineRule="exact"/>
              <w:ind w:left="102"/>
              <w:rPr>
                <w:rFonts w:ascii="Arial" w:eastAsia="Arial" w:hAnsi="Arial" w:cs="Arial"/>
                <w:sz w:val="24"/>
                <w:szCs w:val="24"/>
              </w:rPr>
            </w:pPr>
            <w:r>
              <w:rPr>
                <w:rFonts w:ascii="Arial" w:eastAsia="Arial" w:hAnsi="Arial" w:cs="Arial"/>
                <w:sz w:val="24"/>
                <w:szCs w:val="24"/>
              </w:rPr>
              <w:t>19.</w:t>
            </w:r>
            <w:r>
              <w:rPr>
                <w:rFonts w:ascii="Arial" w:eastAsia="Arial" w:hAnsi="Arial" w:cs="Arial"/>
                <w:spacing w:val="-43"/>
                <w:sz w:val="24"/>
                <w:szCs w:val="24"/>
              </w:rPr>
              <w:t xml:space="preserve"> </w:t>
            </w:r>
            <w:r>
              <w:rPr>
                <w:rFonts w:ascii="Arial" w:eastAsia="Arial" w:hAnsi="Arial" w:cs="Arial"/>
                <w:sz w:val="24"/>
                <w:szCs w:val="24"/>
              </w:rPr>
              <w:t>Loi de 2006 sur le transfert des valeurs mobilières</w:t>
            </w:r>
          </w:p>
        </w:tc>
        <w:tc>
          <w:tcPr>
            <w:tcW w:w="6809" w:type="dxa"/>
            <w:tcBorders>
              <w:top w:val="single" w:sz="5" w:space="0" w:color="000000"/>
              <w:left w:val="single" w:sz="5" w:space="0" w:color="000000"/>
              <w:bottom w:val="single" w:sz="5" w:space="0" w:color="000000"/>
              <w:right w:val="single" w:sz="5" w:space="0" w:color="000000"/>
            </w:tcBorders>
          </w:tcPr>
          <w:p w:rsidR="00313174" w:rsidRDefault="00313174" w:rsidP="008A530F">
            <w:pPr>
              <w:pStyle w:val="ListParagraph"/>
              <w:numPr>
                <w:ilvl w:val="0"/>
                <w:numId w:val="1"/>
              </w:numPr>
              <w:tabs>
                <w:tab w:val="left" w:pos="462"/>
              </w:tabs>
              <w:spacing w:before="14" w:line="239" w:lineRule="auto"/>
              <w:ind w:left="462" w:right="99"/>
              <w:jc w:val="both"/>
              <w:rPr>
                <w:rFonts w:ascii="Arial" w:eastAsia="Arial" w:hAnsi="Arial" w:cs="Arial"/>
                <w:sz w:val="24"/>
                <w:szCs w:val="24"/>
              </w:rPr>
            </w:pPr>
            <w:r>
              <w:rPr>
                <w:rFonts w:ascii="Arial" w:eastAsia="Arial" w:hAnsi="Arial" w:cs="Arial"/>
                <w:sz w:val="24"/>
                <w:szCs w:val="24"/>
              </w:rPr>
              <w:t>Énonce les règles concernant le transfert de biens de placement (comme les valeurs mobilières) tout en tenant compte des pratiques commerciales actuelles; traite aussi des valeurs mobilières détenues directement par un investisseur ou indirectement par un investisseur</w:t>
            </w:r>
          </w:p>
        </w:tc>
      </w:tr>
    </w:tbl>
    <w:p w:rsidR="00047FAE" w:rsidRDefault="00047FAE">
      <w:pPr>
        <w:spacing w:line="239" w:lineRule="auto"/>
        <w:jc w:val="both"/>
        <w:rPr>
          <w:rFonts w:ascii="Arial" w:eastAsia="Arial" w:hAnsi="Arial" w:cs="Arial"/>
          <w:sz w:val="24"/>
          <w:szCs w:val="24"/>
        </w:rPr>
        <w:sectPr w:rsidR="00047FAE">
          <w:headerReference w:type="default" r:id="rId14"/>
          <w:pgSz w:w="12240" w:h="15840"/>
          <w:pgMar w:top="980" w:right="1220" w:bottom="920" w:left="1220" w:header="743" w:footer="731" w:gutter="0"/>
          <w:cols w:space="720"/>
        </w:sectPr>
      </w:pPr>
    </w:p>
    <w:p w:rsidR="00047FAE" w:rsidRDefault="00D37374" w:rsidP="00F34487">
      <w:pPr>
        <w:spacing w:before="75"/>
        <w:ind w:left="2852" w:right="1667" w:firstLine="1147"/>
        <w:rPr>
          <w:rFonts w:ascii="Arial" w:eastAsia="Arial" w:hAnsi="Arial" w:cs="Arial"/>
          <w:sz w:val="24"/>
          <w:szCs w:val="24"/>
        </w:rPr>
      </w:pPr>
      <w:bookmarkStart w:id="76" w:name="Schedule_D_Working_Groups_of_Council"/>
      <w:bookmarkStart w:id="77" w:name="_bookmark11"/>
      <w:bookmarkEnd w:id="76"/>
      <w:bookmarkEnd w:id="77"/>
      <w:r>
        <w:rPr>
          <w:rFonts w:ascii="Arial" w:eastAsia="Arial" w:hAnsi="Arial" w:cs="Arial"/>
          <w:b/>
          <w:bCs/>
          <w:sz w:val="24"/>
          <w:szCs w:val="24"/>
        </w:rPr>
        <w:lastRenderedPageBreak/>
        <w:t xml:space="preserve">ANNEXE </w:t>
      </w:r>
      <w:r w:rsidR="007309FF">
        <w:rPr>
          <w:rFonts w:ascii="Arial" w:eastAsia="Arial" w:hAnsi="Arial" w:cs="Arial"/>
          <w:b/>
          <w:bCs/>
          <w:sz w:val="24"/>
          <w:szCs w:val="24"/>
        </w:rPr>
        <w:t xml:space="preserve">D </w:t>
      </w:r>
      <w:r>
        <w:rPr>
          <w:rFonts w:ascii="Arial" w:eastAsia="Arial" w:hAnsi="Arial" w:cs="Arial"/>
          <w:b/>
          <w:bCs/>
          <w:sz w:val="24"/>
          <w:szCs w:val="24"/>
        </w:rPr>
        <w:br/>
        <w:t>GROUPES DE TRAVAIL DU CONSEIL</w:t>
      </w:r>
    </w:p>
    <w:p w:rsidR="00047FAE" w:rsidRDefault="00047FAE">
      <w:pPr>
        <w:spacing w:before="2" w:line="120" w:lineRule="exact"/>
        <w:rPr>
          <w:sz w:val="12"/>
          <w:szCs w:val="12"/>
        </w:rPr>
      </w:pPr>
    </w:p>
    <w:p w:rsidR="00047FAE" w:rsidRDefault="00047FAE">
      <w:pPr>
        <w:spacing w:line="200" w:lineRule="exact"/>
        <w:rPr>
          <w:sz w:val="20"/>
          <w:szCs w:val="20"/>
        </w:rPr>
      </w:pPr>
    </w:p>
    <w:p w:rsidR="00047FAE" w:rsidRDefault="00047FAE">
      <w:pPr>
        <w:spacing w:line="200" w:lineRule="exact"/>
        <w:rPr>
          <w:sz w:val="20"/>
          <w:szCs w:val="20"/>
        </w:rPr>
      </w:pPr>
    </w:p>
    <w:p w:rsidR="00047FAE" w:rsidRDefault="00D37374" w:rsidP="00D40152">
      <w:pPr>
        <w:pStyle w:val="BodyText"/>
        <w:spacing w:line="510" w:lineRule="atLeast"/>
        <w:ind w:left="100" w:right="4360"/>
      </w:pPr>
      <w:r>
        <w:rPr>
          <w:spacing w:val="-1"/>
        </w:rPr>
        <w:t xml:space="preserve">Groupe de travail sur le droit </w:t>
      </w:r>
      <w:r w:rsidR="00E25621">
        <w:rPr>
          <w:spacing w:val="-1"/>
        </w:rPr>
        <w:t>commercial</w:t>
      </w:r>
      <w:r w:rsidR="00E25621">
        <w:rPr>
          <w:spacing w:val="-1"/>
        </w:rPr>
        <w:br/>
      </w:r>
      <w:r w:rsidR="007309FF">
        <w:t>Jenn</w:t>
      </w:r>
      <w:r w:rsidR="007309FF">
        <w:rPr>
          <w:spacing w:val="-3"/>
        </w:rPr>
        <w:t>i</w:t>
      </w:r>
      <w:r w:rsidR="007309FF">
        <w:t>fer</w:t>
      </w:r>
      <w:r w:rsidR="007309FF">
        <w:rPr>
          <w:spacing w:val="-1"/>
        </w:rPr>
        <w:t xml:space="preserve"> </w:t>
      </w:r>
      <w:r w:rsidR="007309FF">
        <w:t>Ba</w:t>
      </w:r>
      <w:r w:rsidR="007309FF">
        <w:rPr>
          <w:spacing w:val="-2"/>
        </w:rPr>
        <w:t>b</w:t>
      </w:r>
      <w:r w:rsidR="007309FF">
        <w:t>e</w:t>
      </w:r>
      <w:r w:rsidR="007309FF">
        <w:rPr>
          <w:spacing w:val="1"/>
        </w:rPr>
        <w:t xml:space="preserve"> </w:t>
      </w:r>
      <w:r w:rsidR="007309FF">
        <w:rPr>
          <w:spacing w:val="-1"/>
        </w:rPr>
        <w:t>(</w:t>
      </w:r>
      <w:r w:rsidR="00E25621">
        <w:rPr>
          <w:spacing w:val="-1"/>
        </w:rPr>
        <w:t>présidente</w:t>
      </w:r>
      <w:r w:rsidR="007309FF">
        <w:t>)</w:t>
      </w:r>
    </w:p>
    <w:p w:rsidR="00047FAE" w:rsidRPr="007A09EB" w:rsidRDefault="007309FF">
      <w:pPr>
        <w:pStyle w:val="BodyText"/>
        <w:ind w:left="100" w:right="7571"/>
        <w:rPr>
          <w:lang w:val="en-CA"/>
        </w:rPr>
      </w:pPr>
      <w:r w:rsidRPr="007A09EB">
        <w:rPr>
          <w:spacing w:val="-1"/>
          <w:lang w:val="en-CA"/>
        </w:rPr>
        <w:t>D</w:t>
      </w:r>
      <w:r w:rsidRPr="007A09EB">
        <w:rPr>
          <w:lang w:val="en-CA"/>
        </w:rPr>
        <w:t>oug</w:t>
      </w:r>
      <w:r w:rsidRPr="007A09EB">
        <w:rPr>
          <w:spacing w:val="-1"/>
          <w:lang w:val="en-CA"/>
        </w:rPr>
        <w:t xml:space="preserve"> D</w:t>
      </w:r>
      <w:r w:rsidRPr="007A09EB">
        <w:rPr>
          <w:lang w:val="en-CA"/>
        </w:rPr>
        <w:t>o</w:t>
      </w:r>
      <w:r w:rsidRPr="007A09EB">
        <w:rPr>
          <w:spacing w:val="-3"/>
          <w:lang w:val="en-CA"/>
        </w:rPr>
        <w:t>w</w:t>
      </w:r>
      <w:r w:rsidRPr="007A09EB">
        <w:rPr>
          <w:lang w:val="en-CA"/>
        </w:rPr>
        <w:t>ney Pat</w:t>
      </w:r>
      <w:r w:rsidRPr="007A09EB">
        <w:rPr>
          <w:spacing w:val="-1"/>
          <w:lang w:val="en-CA"/>
        </w:rPr>
        <w:t>ri</w:t>
      </w:r>
      <w:r w:rsidRPr="007A09EB">
        <w:rPr>
          <w:lang w:val="en-CA"/>
        </w:rPr>
        <w:t>ck S</w:t>
      </w:r>
      <w:r w:rsidRPr="007A09EB">
        <w:rPr>
          <w:spacing w:val="-2"/>
          <w:lang w:val="en-CA"/>
        </w:rPr>
        <w:t>h</w:t>
      </w:r>
      <w:r w:rsidRPr="007A09EB">
        <w:rPr>
          <w:lang w:val="en-CA"/>
        </w:rPr>
        <w:t xml:space="preserve">ea </w:t>
      </w:r>
      <w:r w:rsidRPr="007A09EB">
        <w:rPr>
          <w:spacing w:val="-1"/>
          <w:lang w:val="en-CA"/>
        </w:rPr>
        <w:t>R</w:t>
      </w:r>
      <w:r w:rsidRPr="007A09EB">
        <w:rPr>
          <w:lang w:val="en-CA"/>
        </w:rPr>
        <w:t>ob</w:t>
      </w:r>
      <w:r w:rsidRPr="007A09EB">
        <w:rPr>
          <w:spacing w:val="1"/>
          <w:lang w:val="en-CA"/>
        </w:rPr>
        <w:t xml:space="preserve"> </w:t>
      </w:r>
      <w:r w:rsidRPr="007A09EB">
        <w:rPr>
          <w:lang w:val="en-CA"/>
        </w:rPr>
        <w:t>Sca</w:t>
      </w:r>
      <w:r w:rsidRPr="007A09EB">
        <w:rPr>
          <w:spacing w:val="-3"/>
          <w:lang w:val="en-CA"/>
        </w:rPr>
        <w:t>v</w:t>
      </w:r>
      <w:r w:rsidRPr="007A09EB">
        <w:rPr>
          <w:lang w:val="en-CA"/>
        </w:rPr>
        <w:t>o</w:t>
      </w:r>
      <w:r w:rsidRPr="007A09EB">
        <w:rPr>
          <w:spacing w:val="-2"/>
          <w:lang w:val="en-CA"/>
        </w:rPr>
        <w:t>n</w:t>
      </w:r>
      <w:r w:rsidRPr="007A09EB">
        <w:rPr>
          <w:lang w:val="en-CA"/>
        </w:rPr>
        <w:t>e</w:t>
      </w:r>
    </w:p>
    <w:p w:rsidR="00047FAE" w:rsidRPr="007A09EB" w:rsidRDefault="00047FAE">
      <w:pPr>
        <w:spacing w:before="6" w:line="110" w:lineRule="exact"/>
        <w:rPr>
          <w:sz w:val="11"/>
          <w:szCs w:val="11"/>
          <w:lang w:val="en-CA"/>
        </w:rPr>
      </w:pPr>
    </w:p>
    <w:p w:rsidR="00047FAE" w:rsidRPr="007A09EB" w:rsidRDefault="00047FAE">
      <w:pPr>
        <w:spacing w:line="200" w:lineRule="exact"/>
        <w:rPr>
          <w:sz w:val="20"/>
          <w:szCs w:val="20"/>
          <w:lang w:val="en-CA"/>
        </w:rPr>
      </w:pPr>
    </w:p>
    <w:p w:rsidR="00047FAE" w:rsidRPr="007A09EB" w:rsidRDefault="00047FAE">
      <w:pPr>
        <w:spacing w:line="200" w:lineRule="exact"/>
        <w:rPr>
          <w:sz w:val="20"/>
          <w:szCs w:val="20"/>
          <w:lang w:val="en-CA"/>
        </w:rPr>
      </w:pPr>
    </w:p>
    <w:p w:rsidR="00047FAE" w:rsidRDefault="00E25621">
      <w:pPr>
        <w:pStyle w:val="BodyText"/>
        <w:ind w:left="100"/>
      </w:pPr>
      <w:r>
        <w:t>Groupe de travail sur le droit des entités</w:t>
      </w:r>
    </w:p>
    <w:p w:rsidR="00047FAE" w:rsidRDefault="00047FAE">
      <w:pPr>
        <w:spacing w:line="240" w:lineRule="exact"/>
        <w:rPr>
          <w:sz w:val="24"/>
          <w:szCs w:val="24"/>
        </w:rPr>
      </w:pPr>
    </w:p>
    <w:p w:rsidR="00047FAE" w:rsidRPr="007A09EB" w:rsidRDefault="007309FF">
      <w:pPr>
        <w:pStyle w:val="BodyText"/>
        <w:tabs>
          <w:tab w:val="left" w:pos="2979"/>
          <w:tab w:val="left" w:pos="3699"/>
        </w:tabs>
        <w:ind w:left="100" w:right="3731"/>
        <w:rPr>
          <w:lang w:val="en-CA"/>
        </w:rPr>
      </w:pPr>
      <w:r w:rsidRPr="007A09EB">
        <w:rPr>
          <w:spacing w:val="-1"/>
          <w:lang w:val="en-CA"/>
        </w:rPr>
        <w:t>C</w:t>
      </w:r>
      <w:r w:rsidRPr="007A09EB">
        <w:rPr>
          <w:lang w:val="en-CA"/>
        </w:rPr>
        <w:t>a</w:t>
      </w:r>
      <w:r w:rsidRPr="007A09EB">
        <w:rPr>
          <w:spacing w:val="-1"/>
          <w:lang w:val="en-CA"/>
        </w:rPr>
        <w:t>r</w:t>
      </w:r>
      <w:r w:rsidRPr="007A09EB">
        <w:rPr>
          <w:lang w:val="en-CA"/>
        </w:rPr>
        <w:t xml:space="preserve">ol </w:t>
      </w:r>
      <w:r w:rsidRPr="007A09EB">
        <w:rPr>
          <w:spacing w:val="-1"/>
          <w:lang w:val="en-CA"/>
        </w:rPr>
        <w:t>H</w:t>
      </w:r>
      <w:r w:rsidRPr="007A09EB">
        <w:rPr>
          <w:lang w:val="en-CA"/>
        </w:rPr>
        <w:t>anse</w:t>
      </w:r>
      <w:r w:rsidRPr="007A09EB">
        <w:rPr>
          <w:spacing w:val="-1"/>
          <w:lang w:val="en-CA"/>
        </w:rPr>
        <w:t>l</w:t>
      </w:r>
      <w:r w:rsidRPr="007A09EB">
        <w:rPr>
          <w:lang w:val="en-CA"/>
        </w:rPr>
        <w:t xml:space="preserve">l </w:t>
      </w:r>
      <w:r w:rsidRPr="007A09EB">
        <w:rPr>
          <w:spacing w:val="-1"/>
          <w:lang w:val="en-CA"/>
        </w:rPr>
        <w:t>(</w:t>
      </w:r>
      <w:r w:rsidR="00E25621" w:rsidRPr="007A09EB">
        <w:rPr>
          <w:spacing w:val="-1"/>
          <w:lang w:val="en-CA"/>
        </w:rPr>
        <w:t>présidente</w:t>
      </w:r>
      <w:r w:rsidRPr="007A09EB">
        <w:rPr>
          <w:lang w:val="en-CA"/>
        </w:rPr>
        <w:t>)</w:t>
      </w:r>
      <w:r w:rsidRPr="007A09EB">
        <w:rPr>
          <w:lang w:val="en-CA"/>
        </w:rPr>
        <w:tab/>
        <w:t>And</w:t>
      </w:r>
      <w:r w:rsidRPr="007A09EB">
        <w:rPr>
          <w:spacing w:val="-1"/>
          <w:lang w:val="en-CA"/>
        </w:rPr>
        <w:t>r</w:t>
      </w:r>
      <w:r w:rsidRPr="007A09EB">
        <w:rPr>
          <w:spacing w:val="-2"/>
          <w:lang w:val="en-CA"/>
        </w:rPr>
        <w:t>e</w:t>
      </w:r>
      <w:r w:rsidRPr="007A09EB">
        <w:rPr>
          <w:lang w:val="en-CA"/>
        </w:rPr>
        <w:t>a</w:t>
      </w:r>
      <w:r w:rsidRPr="007A09EB">
        <w:rPr>
          <w:spacing w:val="1"/>
          <w:lang w:val="en-CA"/>
        </w:rPr>
        <w:t xml:space="preserve"> </w:t>
      </w:r>
      <w:r w:rsidRPr="007A09EB">
        <w:rPr>
          <w:lang w:val="en-CA"/>
        </w:rPr>
        <w:t>Jo</w:t>
      </w:r>
      <w:r w:rsidRPr="007A09EB">
        <w:rPr>
          <w:spacing w:val="-2"/>
          <w:lang w:val="en-CA"/>
        </w:rPr>
        <w:t>h</w:t>
      </w:r>
      <w:r w:rsidRPr="007A09EB">
        <w:rPr>
          <w:lang w:val="en-CA"/>
        </w:rPr>
        <w:t>ns</w:t>
      </w:r>
      <w:r w:rsidRPr="007A09EB">
        <w:rPr>
          <w:spacing w:val="-2"/>
          <w:lang w:val="en-CA"/>
        </w:rPr>
        <w:t>o</w:t>
      </w:r>
      <w:r w:rsidRPr="007A09EB">
        <w:rPr>
          <w:lang w:val="en-CA"/>
        </w:rPr>
        <w:t xml:space="preserve">n </w:t>
      </w:r>
      <w:r w:rsidR="00E25621" w:rsidRPr="007A09EB">
        <w:rPr>
          <w:lang w:val="en-CA"/>
        </w:rPr>
        <w:br/>
      </w:r>
      <w:r w:rsidRPr="007A09EB">
        <w:rPr>
          <w:lang w:val="en-CA"/>
        </w:rPr>
        <w:t>Andy</w:t>
      </w:r>
      <w:r w:rsidRPr="007A09EB">
        <w:rPr>
          <w:spacing w:val="-2"/>
          <w:lang w:val="en-CA"/>
        </w:rPr>
        <w:t xml:space="preserve"> </w:t>
      </w:r>
      <w:r w:rsidRPr="007A09EB">
        <w:rPr>
          <w:spacing w:val="-1"/>
          <w:lang w:val="en-CA"/>
        </w:rPr>
        <w:t>C</w:t>
      </w:r>
      <w:r w:rsidRPr="007A09EB">
        <w:rPr>
          <w:lang w:val="en-CA"/>
        </w:rPr>
        <w:t>han</w:t>
      </w:r>
      <w:r w:rsidRPr="007A09EB">
        <w:rPr>
          <w:lang w:val="en-CA"/>
        </w:rPr>
        <w:tab/>
        <w:t>She</w:t>
      </w:r>
      <w:r w:rsidRPr="007A09EB">
        <w:rPr>
          <w:spacing w:val="-1"/>
          <w:lang w:val="en-CA"/>
        </w:rPr>
        <w:t>il</w:t>
      </w:r>
      <w:r w:rsidRPr="007A09EB">
        <w:rPr>
          <w:lang w:val="en-CA"/>
        </w:rPr>
        <w:t>a</w:t>
      </w:r>
      <w:r w:rsidRPr="007A09EB">
        <w:rPr>
          <w:spacing w:val="1"/>
          <w:lang w:val="en-CA"/>
        </w:rPr>
        <w:t xml:space="preserve"> </w:t>
      </w:r>
      <w:r w:rsidRPr="007A09EB">
        <w:rPr>
          <w:spacing w:val="-1"/>
          <w:lang w:val="en-CA"/>
        </w:rPr>
        <w:t>M</w:t>
      </w:r>
      <w:r w:rsidRPr="007A09EB">
        <w:rPr>
          <w:lang w:val="en-CA"/>
        </w:rPr>
        <w:t>u</w:t>
      </w:r>
      <w:r w:rsidRPr="007A09EB">
        <w:rPr>
          <w:spacing w:val="-1"/>
          <w:lang w:val="en-CA"/>
        </w:rPr>
        <w:t>rr</w:t>
      </w:r>
      <w:r w:rsidRPr="007A09EB">
        <w:rPr>
          <w:lang w:val="en-CA"/>
        </w:rPr>
        <w:t>ay</w:t>
      </w:r>
    </w:p>
    <w:p w:rsidR="00047FAE" w:rsidRDefault="007309FF" w:rsidP="00E25621">
      <w:pPr>
        <w:pStyle w:val="BodyText"/>
        <w:tabs>
          <w:tab w:val="left" w:pos="2979"/>
        </w:tabs>
        <w:spacing w:line="480" w:lineRule="auto"/>
        <w:ind w:left="100" w:right="3510"/>
      </w:pPr>
      <w:r>
        <w:t>Jack G</w:t>
      </w:r>
      <w:r>
        <w:rPr>
          <w:spacing w:val="-1"/>
        </w:rPr>
        <w:t>r</w:t>
      </w:r>
      <w:r>
        <w:t>o</w:t>
      </w:r>
      <w:r>
        <w:rPr>
          <w:spacing w:val="-2"/>
        </w:rPr>
        <w:t>u</w:t>
      </w:r>
      <w:r>
        <w:t>nd</w:t>
      </w:r>
      <w:r>
        <w:tab/>
        <w:t>A</w:t>
      </w:r>
      <w:r>
        <w:rPr>
          <w:spacing w:val="-1"/>
        </w:rPr>
        <w:t>rl</w:t>
      </w:r>
      <w:r>
        <w:t>ene</w:t>
      </w:r>
      <w:r>
        <w:rPr>
          <w:spacing w:val="1"/>
        </w:rPr>
        <w:t xml:space="preserve"> </w:t>
      </w:r>
      <w:r>
        <w:t>O</w:t>
      </w:r>
      <w:r>
        <w:rPr>
          <w:spacing w:val="-1"/>
        </w:rPr>
        <w:t>'N</w:t>
      </w:r>
      <w:r>
        <w:t>e</w:t>
      </w:r>
      <w:r>
        <w:rPr>
          <w:spacing w:val="-1"/>
        </w:rPr>
        <w:t xml:space="preserve">ill </w:t>
      </w:r>
      <w:r w:rsidR="00E25621">
        <w:rPr>
          <w:spacing w:val="-1"/>
        </w:rPr>
        <w:br/>
      </w:r>
      <w:r w:rsidR="00E25621">
        <w:rPr>
          <w:spacing w:val="-1"/>
        </w:rPr>
        <w:br/>
        <w:t>Groupe de travail sur le droit des franchises</w:t>
      </w:r>
    </w:p>
    <w:p w:rsidR="00047FAE" w:rsidRDefault="007309FF" w:rsidP="00E25621">
      <w:pPr>
        <w:pStyle w:val="BodyText"/>
        <w:spacing w:before="8"/>
        <w:ind w:left="100" w:right="5636"/>
      </w:pPr>
      <w:r>
        <w:t>Peter</w:t>
      </w:r>
      <w:r>
        <w:rPr>
          <w:spacing w:val="-1"/>
        </w:rPr>
        <w:t xml:space="preserve"> </w:t>
      </w:r>
      <w:r>
        <w:t>V</w:t>
      </w:r>
      <w:r>
        <w:rPr>
          <w:spacing w:val="-1"/>
        </w:rPr>
        <w:t>ii</w:t>
      </w:r>
      <w:r>
        <w:t>t</w:t>
      </w:r>
      <w:r>
        <w:rPr>
          <w:spacing w:val="-1"/>
        </w:rPr>
        <w:t>r</w:t>
      </w:r>
      <w:r>
        <w:t>e</w:t>
      </w:r>
      <w:r>
        <w:rPr>
          <w:spacing w:val="-1"/>
        </w:rPr>
        <w:t xml:space="preserve"> (</w:t>
      </w:r>
      <w:r w:rsidR="00E25621">
        <w:rPr>
          <w:spacing w:val="-1"/>
        </w:rPr>
        <w:t>président</w:t>
      </w:r>
      <w:r>
        <w:rPr>
          <w:spacing w:val="-1"/>
        </w:rPr>
        <w:t>)</w:t>
      </w:r>
      <w:r w:rsidR="00E25621">
        <w:rPr>
          <w:spacing w:val="-1"/>
        </w:rPr>
        <w:br/>
      </w:r>
      <w:r>
        <w:t>Pat</w:t>
      </w:r>
      <w:r>
        <w:rPr>
          <w:spacing w:val="-1"/>
        </w:rPr>
        <w:t>ri</w:t>
      </w:r>
      <w:r>
        <w:t>ck S</w:t>
      </w:r>
      <w:r>
        <w:rPr>
          <w:spacing w:val="-2"/>
        </w:rPr>
        <w:t>h</w:t>
      </w:r>
      <w:r>
        <w:t>ea</w:t>
      </w:r>
    </w:p>
    <w:p w:rsidR="00047FAE" w:rsidRDefault="00047FAE">
      <w:pPr>
        <w:sectPr w:rsidR="00047FAE">
          <w:headerReference w:type="default" r:id="rId15"/>
          <w:footerReference w:type="default" r:id="rId16"/>
          <w:pgSz w:w="12240" w:h="15840"/>
          <w:pgMar w:top="1360" w:right="1720" w:bottom="920" w:left="1340" w:header="0" w:footer="731" w:gutter="0"/>
          <w:cols w:space="720"/>
        </w:sectPr>
      </w:pPr>
    </w:p>
    <w:p w:rsidR="00047FAE" w:rsidRDefault="00D40152" w:rsidP="00F34487">
      <w:pPr>
        <w:spacing w:before="75"/>
        <w:ind w:left="3012" w:right="1403" w:firstLine="1012"/>
        <w:rPr>
          <w:rFonts w:ascii="Arial" w:eastAsia="Arial" w:hAnsi="Arial" w:cs="Arial"/>
          <w:sz w:val="24"/>
          <w:szCs w:val="24"/>
        </w:rPr>
      </w:pPr>
      <w:bookmarkStart w:id="78" w:name="Schedule_E_Organizations_Consulted"/>
      <w:bookmarkStart w:id="79" w:name="_bookmark12"/>
      <w:bookmarkEnd w:id="78"/>
      <w:bookmarkEnd w:id="79"/>
      <w:r>
        <w:rPr>
          <w:rFonts w:ascii="Arial" w:eastAsia="Arial" w:hAnsi="Arial" w:cs="Arial"/>
          <w:b/>
          <w:bCs/>
          <w:sz w:val="24"/>
          <w:szCs w:val="24"/>
        </w:rPr>
        <w:lastRenderedPageBreak/>
        <w:t xml:space="preserve">ANNEXE </w:t>
      </w:r>
      <w:r w:rsidR="007309FF">
        <w:rPr>
          <w:rFonts w:ascii="Arial" w:eastAsia="Arial" w:hAnsi="Arial" w:cs="Arial"/>
          <w:b/>
          <w:bCs/>
          <w:sz w:val="24"/>
          <w:szCs w:val="24"/>
        </w:rPr>
        <w:t xml:space="preserve">E </w:t>
      </w:r>
      <w:r w:rsidR="00F34487">
        <w:rPr>
          <w:rFonts w:ascii="Arial" w:eastAsia="Arial" w:hAnsi="Arial" w:cs="Arial"/>
          <w:b/>
          <w:bCs/>
          <w:sz w:val="24"/>
          <w:szCs w:val="24"/>
        </w:rPr>
        <w:br/>
      </w:r>
      <w:r w:rsidR="007309FF">
        <w:rPr>
          <w:rFonts w:ascii="Arial" w:eastAsia="Arial" w:hAnsi="Arial" w:cs="Arial"/>
          <w:b/>
          <w:bCs/>
          <w:sz w:val="24"/>
          <w:szCs w:val="24"/>
        </w:rPr>
        <w:t>O</w:t>
      </w:r>
      <w:r w:rsidR="007309FF">
        <w:rPr>
          <w:rFonts w:ascii="Arial" w:eastAsia="Arial" w:hAnsi="Arial" w:cs="Arial"/>
          <w:b/>
          <w:bCs/>
          <w:spacing w:val="-1"/>
          <w:sz w:val="24"/>
          <w:szCs w:val="24"/>
        </w:rPr>
        <w:t>R</w:t>
      </w:r>
      <w:r w:rsidR="007309FF">
        <w:rPr>
          <w:rFonts w:ascii="Arial" w:eastAsia="Arial" w:hAnsi="Arial" w:cs="Arial"/>
          <w:b/>
          <w:bCs/>
          <w:spacing w:val="2"/>
          <w:sz w:val="24"/>
          <w:szCs w:val="24"/>
        </w:rPr>
        <w:t>G</w:t>
      </w:r>
      <w:r w:rsidR="007309FF">
        <w:rPr>
          <w:rFonts w:ascii="Arial" w:eastAsia="Arial" w:hAnsi="Arial" w:cs="Arial"/>
          <w:b/>
          <w:bCs/>
          <w:spacing w:val="-6"/>
          <w:sz w:val="24"/>
          <w:szCs w:val="24"/>
        </w:rPr>
        <w:t>A</w:t>
      </w:r>
      <w:r w:rsidR="007309FF">
        <w:rPr>
          <w:rFonts w:ascii="Arial" w:eastAsia="Arial" w:hAnsi="Arial" w:cs="Arial"/>
          <w:b/>
          <w:bCs/>
          <w:spacing w:val="-1"/>
          <w:sz w:val="24"/>
          <w:szCs w:val="24"/>
        </w:rPr>
        <w:t>N</w:t>
      </w:r>
      <w:r w:rsidR="007309FF">
        <w:rPr>
          <w:rFonts w:ascii="Arial" w:eastAsia="Arial" w:hAnsi="Arial" w:cs="Arial"/>
          <w:b/>
          <w:bCs/>
          <w:sz w:val="24"/>
          <w:szCs w:val="24"/>
        </w:rPr>
        <w:t>I</w:t>
      </w:r>
      <w:r>
        <w:rPr>
          <w:rFonts w:ascii="Arial" w:eastAsia="Arial" w:hAnsi="Arial" w:cs="Arial"/>
          <w:b/>
          <w:bCs/>
          <w:sz w:val="24"/>
          <w:szCs w:val="24"/>
        </w:rPr>
        <w:t>S</w:t>
      </w:r>
      <w:r w:rsidR="007309FF">
        <w:rPr>
          <w:rFonts w:ascii="Arial" w:eastAsia="Arial" w:hAnsi="Arial" w:cs="Arial"/>
          <w:b/>
          <w:bCs/>
          <w:spacing w:val="-6"/>
          <w:sz w:val="24"/>
          <w:szCs w:val="24"/>
        </w:rPr>
        <w:t>A</w:t>
      </w:r>
      <w:r w:rsidR="007309FF">
        <w:rPr>
          <w:rFonts w:ascii="Arial" w:eastAsia="Arial" w:hAnsi="Arial" w:cs="Arial"/>
          <w:b/>
          <w:bCs/>
          <w:spacing w:val="-1"/>
          <w:sz w:val="24"/>
          <w:szCs w:val="24"/>
        </w:rPr>
        <w:t>T</w:t>
      </w:r>
      <w:r w:rsidR="007309FF">
        <w:rPr>
          <w:rFonts w:ascii="Arial" w:eastAsia="Arial" w:hAnsi="Arial" w:cs="Arial"/>
          <w:b/>
          <w:bCs/>
          <w:sz w:val="24"/>
          <w:szCs w:val="24"/>
        </w:rPr>
        <w:t>IO</w:t>
      </w:r>
      <w:r w:rsidR="007309FF">
        <w:rPr>
          <w:rFonts w:ascii="Arial" w:eastAsia="Arial" w:hAnsi="Arial" w:cs="Arial"/>
          <w:b/>
          <w:bCs/>
          <w:spacing w:val="-1"/>
          <w:sz w:val="24"/>
          <w:szCs w:val="24"/>
        </w:rPr>
        <w:t>N</w:t>
      </w:r>
      <w:r w:rsidR="007309FF">
        <w:rPr>
          <w:rFonts w:ascii="Arial" w:eastAsia="Arial" w:hAnsi="Arial" w:cs="Arial"/>
          <w:b/>
          <w:bCs/>
          <w:sz w:val="24"/>
          <w:szCs w:val="24"/>
        </w:rPr>
        <w:t>S</w:t>
      </w:r>
      <w:r w:rsidR="007309FF">
        <w:rPr>
          <w:rFonts w:ascii="Arial" w:eastAsia="Arial" w:hAnsi="Arial" w:cs="Arial"/>
          <w:b/>
          <w:bCs/>
          <w:spacing w:val="1"/>
          <w:sz w:val="24"/>
          <w:szCs w:val="24"/>
        </w:rPr>
        <w:t xml:space="preserve"> </w:t>
      </w:r>
      <w:r w:rsidR="007309FF">
        <w:rPr>
          <w:rFonts w:ascii="Arial" w:eastAsia="Arial" w:hAnsi="Arial" w:cs="Arial"/>
          <w:b/>
          <w:bCs/>
          <w:spacing w:val="-1"/>
          <w:sz w:val="24"/>
          <w:szCs w:val="24"/>
        </w:rPr>
        <w:t>C</w:t>
      </w:r>
      <w:r w:rsidR="007309FF">
        <w:rPr>
          <w:rFonts w:ascii="Arial" w:eastAsia="Arial" w:hAnsi="Arial" w:cs="Arial"/>
          <w:b/>
          <w:bCs/>
          <w:spacing w:val="2"/>
          <w:sz w:val="24"/>
          <w:szCs w:val="24"/>
        </w:rPr>
        <w:t>O</w:t>
      </w:r>
      <w:r w:rsidR="007309FF">
        <w:rPr>
          <w:rFonts w:ascii="Arial" w:eastAsia="Arial" w:hAnsi="Arial" w:cs="Arial"/>
          <w:b/>
          <w:bCs/>
          <w:spacing w:val="-1"/>
          <w:sz w:val="24"/>
          <w:szCs w:val="24"/>
        </w:rPr>
        <w:t>N</w:t>
      </w:r>
      <w:r w:rsidR="007309FF">
        <w:rPr>
          <w:rFonts w:ascii="Arial" w:eastAsia="Arial" w:hAnsi="Arial" w:cs="Arial"/>
          <w:b/>
          <w:bCs/>
          <w:sz w:val="24"/>
          <w:szCs w:val="24"/>
        </w:rPr>
        <w:t>S</w:t>
      </w:r>
      <w:r w:rsidR="007309FF">
        <w:rPr>
          <w:rFonts w:ascii="Arial" w:eastAsia="Arial" w:hAnsi="Arial" w:cs="Arial"/>
          <w:b/>
          <w:bCs/>
          <w:spacing w:val="-1"/>
          <w:sz w:val="24"/>
          <w:szCs w:val="24"/>
        </w:rPr>
        <w:t>ULT</w:t>
      </w:r>
      <w:r>
        <w:rPr>
          <w:rFonts w:ascii="Arial" w:eastAsia="Arial" w:hAnsi="Arial" w:cs="Arial"/>
          <w:b/>
          <w:bCs/>
          <w:spacing w:val="-1"/>
          <w:sz w:val="24"/>
          <w:szCs w:val="24"/>
        </w:rPr>
        <w:t>ÉES</w:t>
      </w:r>
    </w:p>
    <w:p w:rsidR="00047FAE" w:rsidRDefault="00047FAE">
      <w:pPr>
        <w:spacing w:line="240" w:lineRule="exact"/>
        <w:rPr>
          <w:sz w:val="24"/>
          <w:szCs w:val="24"/>
        </w:rPr>
      </w:pPr>
    </w:p>
    <w:p w:rsidR="00047FAE" w:rsidRDefault="007309FF" w:rsidP="00F34487">
      <w:pPr>
        <w:pStyle w:val="BodyText"/>
        <w:ind w:right="1829"/>
      </w:pPr>
      <w:r>
        <w:t>As</w:t>
      </w:r>
      <w:r>
        <w:rPr>
          <w:spacing w:val="-3"/>
        </w:rPr>
        <w:t>s</w:t>
      </w:r>
      <w:r>
        <w:t>oc</w:t>
      </w:r>
      <w:r>
        <w:rPr>
          <w:spacing w:val="-1"/>
        </w:rPr>
        <w:t>i</w:t>
      </w:r>
      <w:r>
        <w:t>at</w:t>
      </w:r>
      <w:r>
        <w:rPr>
          <w:spacing w:val="-1"/>
        </w:rPr>
        <w:t>i</w:t>
      </w:r>
      <w:r>
        <w:t xml:space="preserve">on </w:t>
      </w:r>
      <w:r w:rsidR="002D3085">
        <w:t>des banquiers canadiens</w:t>
      </w:r>
      <w:r w:rsidR="002D3085">
        <w:br/>
        <w:t>Coalition canadienne pour une bonne gouvernance</w:t>
      </w:r>
    </w:p>
    <w:p w:rsidR="002D3085" w:rsidRDefault="002D3085" w:rsidP="00F34487">
      <w:pPr>
        <w:pStyle w:val="BodyText"/>
        <w:tabs>
          <w:tab w:val="left" w:pos="7230"/>
        </w:tabs>
        <w:ind w:right="2963"/>
        <w:rPr>
          <w:spacing w:val="-1"/>
        </w:rPr>
      </w:pPr>
      <w:r>
        <w:rPr>
          <w:spacing w:val="-1"/>
        </w:rPr>
        <w:t>Association canadienne de financement et de location</w:t>
      </w:r>
    </w:p>
    <w:p w:rsidR="002D3085" w:rsidRDefault="000949B8" w:rsidP="00F34487">
      <w:pPr>
        <w:pStyle w:val="BodyText"/>
        <w:ind w:right="2396"/>
      </w:pPr>
      <w:r>
        <w:t>Institut canadien des relations aux investisseurs</w:t>
      </w:r>
    </w:p>
    <w:p w:rsidR="00047FAE" w:rsidRPr="007A09EB" w:rsidRDefault="007309FF">
      <w:pPr>
        <w:pStyle w:val="BodyText"/>
        <w:ind w:right="4463"/>
        <w:rPr>
          <w:lang w:val="en-CA"/>
        </w:rPr>
      </w:pPr>
      <w:r w:rsidRPr="007A09EB">
        <w:rPr>
          <w:spacing w:val="-1"/>
          <w:lang w:val="en-CA"/>
        </w:rPr>
        <w:t>C</w:t>
      </w:r>
      <w:r w:rsidRPr="007A09EB">
        <w:rPr>
          <w:lang w:val="en-CA"/>
        </w:rPr>
        <w:t>anad</w:t>
      </w:r>
      <w:r w:rsidRPr="007A09EB">
        <w:rPr>
          <w:spacing w:val="-1"/>
          <w:lang w:val="en-CA"/>
        </w:rPr>
        <w:t>i</w:t>
      </w:r>
      <w:r w:rsidRPr="007A09EB">
        <w:rPr>
          <w:spacing w:val="-2"/>
          <w:lang w:val="en-CA"/>
        </w:rPr>
        <w:t>a</w:t>
      </w:r>
      <w:r w:rsidRPr="007A09EB">
        <w:rPr>
          <w:lang w:val="en-CA"/>
        </w:rPr>
        <w:t>n</w:t>
      </w:r>
      <w:r w:rsidRPr="007A09EB">
        <w:rPr>
          <w:spacing w:val="1"/>
          <w:lang w:val="en-CA"/>
        </w:rPr>
        <w:t xml:space="preserve"> </w:t>
      </w:r>
      <w:r w:rsidRPr="007A09EB">
        <w:rPr>
          <w:spacing w:val="-1"/>
          <w:lang w:val="en-CA"/>
        </w:rPr>
        <w:t>M</w:t>
      </w:r>
      <w:r w:rsidRPr="007A09EB">
        <w:rPr>
          <w:lang w:val="en-CA"/>
        </w:rPr>
        <w:t>a</w:t>
      </w:r>
      <w:r w:rsidRPr="007A09EB">
        <w:rPr>
          <w:spacing w:val="-1"/>
          <w:lang w:val="en-CA"/>
        </w:rPr>
        <w:t>r</w:t>
      </w:r>
      <w:r w:rsidRPr="007A09EB">
        <w:rPr>
          <w:lang w:val="en-CA"/>
        </w:rPr>
        <w:t>ket</w:t>
      </w:r>
      <w:r w:rsidRPr="007A09EB">
        <w:rPr>
          <w:spacing w:val="-2"/>
          <w:lang w:val="en-CA"/>
        </w:rPr>
        <w:t xml:space="preserve"> </w:t>
      </w:r>
      <w:r w:rsidRPr="007A09EB">
        <w:rPr>
          <w:lang w:val="en-CA"/>
        </w:rPr>
        <w:t>I</w:t>
      </w:r>
      <w:r w:rsidRPr="007A09EB">
        <w:rPr>
          <w:spacing w:val="-2"/>
          <w:lang w:val="en-CA"/>
        </w:rPr>
        <w:t>n</w:t>
      </w:r>
      <w:r w:rsidRPr="007A09EB">
        <w:rPr>
          <w:spacing w:val="2"/>
          <w:lang w:val="en-CA"/>
        </w:rPr>
        <w:t>f</w:t>
      </w:r>
      <w:r w:rsidRPr="007A09EB">
        <w:rPr>
          <w:spacing w:val="-4"/>
          <w:lang w:val="en-CA"/>
        </w:rPr>
        <w:t>r</w:t>
      </w:r>
      <w:r w:rsidRPr="007A09EB">
        <w:rPr>
          <w:spacing w:val="-2"/>
          <w:lang w:val="en-CA"/>
        </w:rPr>
        <w:t>a</w:t>
      </w:r>
      <w:r w:rsidRPr="007A09EB">
        <w:rPr>
          <w:lang w:val="en-CA"/>
        </w:rPr>
        <w:t>st</w:t>
      </w:r>
      <w:r w:rsidRPr="007A09EB">
        <w:rPr>
          <w:spacing w:val="-1"/>
          <w:lang w:val="en-CA"/>
        </w:rPr>
        <w:t>r</w:t>
      </w:r>
      <w:r w:rsidRPr="007A09EB">
        <w:rPr>
          <w:lang w:val="en-CA"/>
        </w:rPr>
        <w:t>uctu</w:t>
      </w:r>
      <w:r w:rsidRPr="007A09EB">
        <w:rPr>
          <w:spacing w:val="-1"/>
          <w:lang w:val="en-CA"/>
        </w:rPr>
        <w:t>r</w:t>
      </w:r>
      <w:r w:rsidRPr="007A09EB">
        <w:rPr>
          <w:lang w:val="en-CA"/>
        </w:rPr>
        <w:t>e</w:t>
      </w:r>
      <w:r w:rsidRPr="007A09EB">
        <w:rPr>
          <w:spacing w:val="1"/>
          <w:lang w:val="en-CA"/>
        </w:rPr>
        <w:t xml:space="preserve"> </w:t>
      </w:r>
      <w:r w:rsidRPr="007A09EB">
        <w:rPr>
          <w:spacing w:val="-1"/>
          <w:lang w:val="en-CA"/>
        </w:rPr>
        <w:t>C</w:t>
      </w:r>
      <w:r w:rsidRPr="007A09EB">
        <w:rPr>
          <w:spacing w:val="-2"/>
          <w:lang w:val="en-CA"/>
        </w:rPr>
        <w:t>o</w:t>
      </w:r>
      <w:r w:rsidRPr="007A09EB">
        <w:rPr>
          <w:spacing w:val="-1"/>
          <w:lang w:val="en-CA"/>
        </w:rPr>
        <w:t>m</w:t>
      </w:r>
      <w:r w:rsidRPr="007A09EB">
        <w:rPr>
          <w:spacing w:val="1"/>
          <w:lang w:val="en-CA"/>
        </w:rPr>
        <w:t>m</w:t>
      </w:r>
      <w:r w:rsidRPr="007A09EB">
        <w:rPr>
          <w:spacing w:val="-1"/>
          <w:lang w:val="en-CA"/>
        </w:rPr>
        <w:t>i</w:t>
      </w:r>
      <w:r w:rsidRPr="007A09EB">
        <w:rPr>
          <w:lang w:val="en-CA"/>
        </w:rPr>
        <w:t>tt</w:t>
      </w:r>
      <w:r w:rsidRPr="007A09EB">
        <w:rPr>
          <w:spacing w:val="-2"/>
          <w:lang w:val="en-CA"/>
        </w:rPr>
        <w:t>e</w:t>
      </w:r>
      <w:r w:rsidRPr="007A09EB">
        <w:rPr>
          <w:lang w:val="en-CA"/>
        </w:rPr>
        <w:t>e</w:t>
      </w:r>
    </w:p>
    <w:p w:rsidR="00047FAE" w:rsidRPr="007A09EB" w:rsidRDefault="0037686D">
      <w:pPr>
        <w:pStyle w:val="BodyText"/>
        <w:rPr>
          <w:lang w:val="en-CA"/>
        </w:rPr>
      </w:pPr>
      <w:r w:rsidRPr="007A09EB">
        <w:rPr>
          <w:spacing w:val="-1"/>
          <w:lang w:val="en-CA"/>
        </w:rPr>
        <w:t>Institut C.</w:t>
      </w:r>
      <w:r w:rsidR="007309FF" w:rsidRPr="007A09EB">
        <w:rPr>
          <w:spacing w:val="-1"/>
          <w:lang w:val="en-CA"/>
        </w:rPr>
        <w:t>D</w:t>
      </w:r>
      <w:r w:rsidR="007309FF" w:rsidRPr="007A09EB">
        <w:rPr>
          <w:lang w:val="en-CA"/>
        </w:rPr>
        <w:t xml:space="preserve">. </w:t>
      </w:r>
      <w:r w:rsidR="007309FF" w:rsidRPr="007A09EB">
        <w:rPr>
          <w:spacing w:val="-1"/>
          <w:lang w:val="en-CA"/>
        </w:rPr>
        <w:t>H</w:t>
      </w:r>
      <w:r w:rsidR="007309FF" w:rsidRPr="007A09EB">
        <w:rPr>
          <w:lang w:val="en-CA"/>
        </w:rPr>
        <w:t>o</w:t>
      </w:r>
      <w:r w:rsidR="007309FF" w:rsidRPr="007A09EB">
        <w:rPr>
          <w:spacing w:val="-3"/>
          <w:lang w:val="en-CA"/>
        </w:rPr>
        <w:t>w</w:t>
      </w:r>
      <w:r w:rsidR="007309FF" w:rsidRPr="007A09EB">
        <w:rPr>
          <w:lang w:val="en-CA"/>
        </w:rPr>
        <w:t>e</w:t>
      </w:r>
    </w:p>
    <w:p w:rsidR="00B61C52" w:rsidRDefault="007309FF" w:rsidP="00F34487">
      <w:pPr>
        <w:pStyle w:val="BodyText"/>
        <w:ind w:right="3813"/>
        <w:rPr>
          <w:spacing w:val="-2"/>
        </w:rPr>
      </w:pPr>
      <w:r>
        <w:t>Inst</w:t>
      </w:r>
      <w:r>
        <w:rPr>
          <w:spacing w:val="-1"/>
        </w:rPr>
        <w:t>i</w:t>
      </w:r>
      <w:r>
        <w:t>tu</w:t>
      </w:r>
      <w:r>
        <w:rPr>
          <w:spacing w:val="-2"/>
        </w:rPr>
        <w:t>t</w:t>
      </w:r>
      <w:r w:rsidR="00B61C52">
        <w:rPr>
          <w:spacing w:val="-2"/>
        </w:rPr>
        <w:t xml:space="preserve"> des administrateurs de sociétés</w:t>
      </w:r>
    </w:p>
    <w:p w:rsidR="00047FAE" w:rsidRDefault="007309FF">
      <w:pPr>
        <w:pStyle w:val="BodyText"/>
        <w:ind w:right="5811"/>
      </w:pPr>
      <w:r>
        <w:t>La</w:t>
      </w:r>
      <w:r>
        <w:rPr>
          <w:spacing w:val="-3"/>
        </w:rPr>
        <w:t>w</w:t>
      </w:r>
      <w:r>
        <w:t>P</w:t>
      </w:r>
      <w:r>
        <w:rPr>
          <w:spacing w:val="-1"/>
        </w:rPr>
        <w:t>R</w:t>
      </w:r>
      <w:r>
        <w:t>O</w:t>
      </w:r>
    </w:p>
    <w:p w:rsidR="00047FAE" w:rsidRDefault="007309FF" w:rsidP="00F34487">
      <w:pPr>
        <w:pStyle w:val="BodyText"/>
        <w:ind w:right="3955"/>
      </w:pPr>
      <w:r>
        <w:t>Onta</w:t>
      </w:r>
      <w:r>
        <w:rPr>
          <w:spacing w:val="-1"/>
        </w:rPr>
        <w:t>ri</w:t>
      </w:r>
      <w:r>
        <w:t>o</w:t>
      </w:r>
      <w:r>
        <w:rPr>
          <w:spacing w:val="1"/>
        </w:rPr>
        <w:t xml:space="preserve"> </w:t>
      </w:r>
      <w:r>
        <w:rPr>
          <w:spacing w:val="-1"/>
        </w:rPr>
        <w:t>C</w:t>
      </w:r>
      <w:r>
        <w:rPr>
          <w:spacing w:val="-2"/>
        </w:rPr>
        <w:t>h</w:t>
      </w:r>
      <w:r>
        <w:t>a</w:t>
      </w:r>
      <w:r>
        <w:rPr>
          <w:spacing w:val="-1"/>
        </w:rPr>
        <w:t>m</w:t>
      </w:r>
      <w:r>
        <w:t>ber</w:t>
      </w:r>
      <w:r>
        <w:rPr>
          <w:spacing w:val="-3"/>
        </w:rPr>
        <w:t xml:space="preserve"> </w:t>
      </w:r>
      <w:r>
        <w:rPr>
          <w:spacing w:val="-2"/>
        </w:rPr>
        <w:t>o</w:t>
      </w:r>
      <w:r>
        <w:t>f</w:t>
      </w:r>
      <w:r>
        <w:rPr>
          <w:spacing w:val="3"/>
        </w:rPr>
        <w:t xml:space="preserve"> </w:t>
      </w:r>
      <w:r>
        <w:rPr>
          <w:spacing w:val="-3"/>
        </w:rPr>
        <w:t>C</w:t>
      </w:r>
      <w:r>
        <w:t>o</w:t>
      </w:r>
      <w:r>
        <w:rPr>
          <w:spacing w:val="-1"/>
        </w:rPr>
        <w:t>m</w:t>
      </w:r>
      <w:r>
        <w:rPr>
          <w:spacing w:val="1"/>
        </w:rPr>
        <w:t>m</w:t>
      </w:r>
      <w:r>
        <w:t>e</w:t>
      </w:r>
      <w:r>
        <w:rPr>
          <w:spacing w:val="-1"/>
        </w:rPr>
        <w:t>r</w:t>
      </w:r>
      <w:r>
        <w:t xml:space="preserve">ce </w:t>
      </w:r>
      <w:r w:rsidR="00F34487">
        <w:br/>
      </w:r>
      <w:r w:rsidR="00B61C52">
        <w:t>Commission des valeurs mobilières de l’</w:t>
      </w:r>
      <w:r>
        <w:t>Onta</w:t>
      </w:r>
      <w:r>
        <w:rPr>
          <w:spacing w:val="-1"/>
        </w:rPr>
        <w:t>ri</w:t>
      </w:r>
      <w:r>
        <w:t>o</w:t>
      </w:r>
    </w:p>
    <w:p w:rsidR="00B61C52" w:rsidRDefault="00B61C52" w:rsidP="00F34487">
      <w:pPr>
        <w:pStyle w:val="BodyText"/>
        <w:ind w:right="1970"/>
      </w:pPr>
      <w:r>
        <w:t>Comité de la LSM de l’Association du Barreau de l’Ontario</w:t>
      </w:r>
    </w:p>
    <w:p w:rsidR="00B61C52" w:rsidRDefault="007309FF" w:rsidP="00F34487">
      <w:pPr>
        <w:pStyle w:val="BodyText"/>
        <w:ind w:right="2537"/>
        <w:rPr>
          <w:spacing w:val="-1"/>
        </w:rPr>
      </w:pPr>
      <w:r>
        <w:rPr>
          <w:spacing w:val="-1"/>
        </w:rPr>
        <w:t>C</w:t>
      </w:r>
      <w:r>
        <w:t>o</w:t>
      </w:r>
      <w:r>
        <w:rPr>
          <w:spacing w:val="-1"/>
        </w:rPr>
        <w:t>m</w:t>
      </w:r>
      <w:r w:rsidR="00B61C52">
        <w:rPr>
          <w:spacing w:val="-1"/>
        </w:rPr>
        <w:t>ité permanent de l’Association du Barreau de l’Ontario</w:t>
      </w:r>
    </w:p>
    <w:p w:rsidR="00047FAE" w:rsidRDefault="007309FF" w:rsidP="00F34487">
      <w:pPr>
        <w:pStyle w:val="BodyText"/>
        <w:ind w:right="2537"/>
      </w:pPr>
      <w:r>
        <w:rPr>
          <w:spacing w:val="2"/>
        </w:rPr>
        <w:t>T</w:t>
      </w:r>
      <w:r>
        <w:t>o</w:t>
      </w:r>
      <w:r>
        <w:rPr>
          <w:spacing w:val="-1"/>
        </w:rPr>
        <w:t>r</w:t>
      </w:r>
      <w:r>
        <w:rPr>
          <w:spacing w:val="-2"/>
        </w:rPr>
        <w:t>o</w:t>
      </w:r>
      <w:r>
        <w:t>nto</w:t>
      </w:r>
      <w:r>
        <w:rPr>
          <w:spacing w:val="-1"/>
        </w:rPr>
        <w:t xml:space="preserve"> </w:t>
      </w:r>
      <w:r>
        <w:t>Op</w:t>
      </w:r>
      <w:r>
        <w:rPr>
          <w:spacing w:val="-1"/>
        </w:rPr>
        <w:t>i</w:t>
      </w:r>
      <w:r>
        <w:t>n</w:t>
      </w:r>
      <w:r>
        <w:rPr>
          <w:spacing w:val="-1"/>
        </w:rPr>
        <w:t>i</w:t>
      </w:r>
      <w:r>
        <w:rPr>
          <w:spacing w:val="-2"/>
        </w:rPr>
        <w:t>o</w:t>
      </w:r>
      <w:r>
        <w:t>ns G</w:t>
      </w:r>
      <w:r>
        <w:rPr>
          <w:spacing w:val="-1"/>
        </w:rPr>
        <w:t>r</w:t>
      </w:r>
      <w:r>
        <w:rPr>
          <w:spacing w:val="-2"/>
        </w:rPr>
        <w:t>ou</w:t>
      </w:r>
      <w:r>
        <w:t>p</w:t>
      </w:r>
    </w:p>
    <w:sectPr w:rsidR="00047FAE" w:rsidSect="00047FAE">
      <w:headerReference w:type="default" r:id="rId17"/>
      <w:footerReference w:type="default" r:id="rId18"/>
      <w:pgSz w:w="12240" w:h="15840"/>
      <w:pgMar w:top="1360" w:right="1720" w:bottom="920" w:left="1320" w:header="0" w:footer="7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9EB" w:rsidRDefault="007A09EB" w:rsidP="00047FAE">
      <w:r>
        <w:separator/>
      </w:r>
    </w:p>
  </w:endnote>
  <w:endnote w:type="continuationSeparator" w:id="0">
    <w:p w:rsidR="007A09EB" w:rsidRDefault="007A09EB" w:rsidP="0004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9EB" w:rsidRDefault="007A09EB">
    <w:pPr>
      <w:spacing w:line="200" w:lineRule="exact"/>
      <w:rPr>
        <w:sz w:val="20"/>
        <w:szCs w:val="20"/>
      </w:rPr>
    </w:pPr>
    <w:r>
      <w:rPr>
        <w:noProof/>
        <w:lang w:val="en-CA" w:eastAsia="en-CA"/>
      </w:rPr>
      <mc:AlternateContent>
        <mc:Choice Requires="wps">
          <w:drawing>
            <wp:anchor distT="0" distB="0" distL="114300" distR="114300" simplePos="0" relativeHeight="503315177" behindDoc="1" locked="0" layoutInCell="1" allowOverlap="1">
              <wp:simplePos x="0" y="0"/>
              <wp:positionH relativeFrom="page">
                <wp:posOffset>901700</wp:posOffset>
              </wp:positionH>
              <wp:positionV relativeFrom="page">
                <wp:posOffset>9454515</wp:posOffset>
              </wp:positionV>
              <wp:extent cx="970915" cy="151765"/>
              <wp:effectExtent l="0" t="0" r="3810" b="444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9EB" w:rsidRDefault="007A09EB">
                          <w:pPr>
                            <w:spacing w:line="224" w:lineRule="exact"/>
                            <w:ind w:left="20"/>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00</w:t>
                          </w:r>
                          <w:r>
                            <w:rPr>
                              <w:rFonts w:ascii="Times New Roman" w:eastAsia="Times New Roman" w:hAnsi="Times New Roman" w:cs="Times New Roman"/>
                              <w:spacing w:val="-2"/>
                              <w:sz w:val="20"/>
                              <w:szCs w:val="20"/>
                            </w:rPr>
                            <w:t>0</w:t>
                          </w:r>
                          <w:r>
                            <w:rPr>
                              <w:rFonts w:ascii="Times New Roman" w:eastAsia="Times New Roman" w:hAnsi="Times New Roman" w:cs="Times New Roman"/>
                              <w:spacing w:val="1"/>
                              <w:sz w:val="20"/>
                              <w:szCs w:val="20"/>
                            </w:rPr>
                            <w:t>37</w:t>
                          </w:r>
                          <w:r>
                            <w:rPr>
                              <w:rFonts w:ascii="Times New Roman" w:eastAsia="Times New Roman" w:hAnsi="Times New Roman" w:cs="Times New Roman"/>
                              <w:spacing w:val="-2"/>
                              <w:sz w:val="20"/>
                              <w:szCs w:val="20"/>
                            </w:rPr>
                            <w:t>0</w:t>
                          </w:r>
                          <w:r>
                            <w:rPr>
                              <w:rFonts w:ascii="Times New Roman" w:eastAsia="Times New Roman" w:hAnsi="Times New Roman" w:cs="Times New Roman"/>
                              <w:spacing w:val="1"/>
                              <w:sz w:val="20"/>
                              <w:szCs w:val="20"/>
                            </w:rPr>
                            <w:t>05</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71pt;margin-top:744.45pt;width:76.45pt;height:11.95pt;z-index:-13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" filled="f" stroked="f">
              <v:textbox inset="0,0,0,0">
                <w:txbxContent>
                  <w:p w:rsidR="007A09EB" w:rsidRDefault="007A09EB">
                    <w:pPr>
                      <w:spacing w:line="224" w:lineRule="exact"/>
                      <w:ind w:left="20"/>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00</w:t>
                    </w:r>
                    <w:r>
                      <w:rPr>
                        <w:rFonts w:ascii="Times New Roman" w:eastAsia="Times New Roman" w:hAnsi="Times New Roman" w:cs="Times New Roman"/>
                        <w:spacing w:val="-2"/>
                        <w:sz w:val="20"/>
                        <w:szCs w:val="20"/>
                      </w:rPr>
                      <w:t>0</w:t>
                    </w:r>
                    <w:r>
                      <w:rPr>
                        <w:rFonts w:ascii="Times New Roman" w:eastAsia="Times New Roman" w:hAnsi="Times New Roman" w:cs="Times New Roman"/>
                        <w:spacing w:val="1"/>
                        <w:sz w:val="20"/>
                        <w:szCs w:val="20"/>
                      </w:rPr>
                      <w:t>37</w:t>
                    </w:r>
                    <w:r>
                      <w:rPr>
                        <w:rFonts w:ascii="Times New Roman" w:eastAsia="Times New Roman" w:hAnsi="Times New Roman" w:cs="Times New Roman"/>
                        <w:spacing w:val="-2"/>
                        <w:sz w:val="20"/>
                        <w:szCs w:val="20"/>
                      </w:rPr>
                      <w:t>0</w:t>
                    </w:r>
                    <w:r>
                      <w:rPr>
                        <w:rFonts w:ascii="Times New Roman" w:eastAsia="Times New Roman" w:hAnsi="Times New Roman" w:cs="Times New Roman"/>
                        <w:spacing w:val="1"/>
                        <w:sz w:val="20"/>
                        <w:szCs w:val="20"/>
                      </w:rPr>
                      <w:t>05</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9EB" w:rsidRDefault="007A09EB">
    <w:pPr>
      <w:spacing w:line="200" w:lineRule="exact"/>
      <w:rPr>
        <w:sz w:val="20"/>
        <w:szCs w:val="20"/>
      </w:rPr>
    </w:pPr>
    <w:r>
      <w:rPr>
        <w:noProof/>
        <w:lang w:val="en-CA" w:eastAsia="en-CA"/>
      </w:rPr>
      <mc:AlternateContent>
        <mc:Choice Requires="wps">
          <w:drawing>
            <wp:anchor distT="0" distB="0" distL="114300" distR="114300" simplePos="0" relativeHeight="503315186" behindDoc="1" locked="0" layoutInCell="1" allowOverlap="1">
              <wp:simplePos x="0" y="0"/>
              <wp:positionH relativeFrom="page">
                <wp:posOffset>901700</wp:posOffset>
              </wp:positionH>
              <wp:positionV relativeFrom="page">
                <wp:posOffset>9454515</wp:posOffset>
              </wp:positionV>
              <wp:extent cx="970915" cy="151765"/>
              <wp:effectExtent l="0" t="0" r="381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9EB" w:rsidRDefault="007A09EB">
                          <w:pPr>
                            <w:spacing w:line="224" w:lineRule="exact"/>
                            <w:ind w:left="20"/>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00</w:t>
                          </w:r>
                          <w:r>
                            <w:rPr>
                              <w:rFonts w:ascii="Times New Roman" w:eastAsia="Times New Roman" w:hAnsi="Times New Roman" w:cs="Times New Roman"/>
                              <w:spacing w:val="-2"/>
                              <w:sz w:val="20"/>
                              <w:szCs w:val="20"/>
                            </w:rPr>
                            <w:t>0</w:t>
                          </w:r>
                          <w:r>
                            <w:rPr>
                              <w:rFonts w:ascii="Times New Roman" w:eastAsia="Times New Roman" w:hAnsi="Times New Roman" w:cs="Times New Roman"/>
                              <w:spacing w:val="1"/>
                              <w:sz w:val="20"/>
                              <w:szCs w:val="20"/>
                            </w:rPr>
                            <w:t>37</w:t>
                          </w:r>
                          <w:r>
                            <w:rPr>
                              <w:rFonts w:ascii="Times New Roman" w:eastAsia="Times New Roman" w:hAnsi="Times New Roman" w:cs="Times New Roman"/>
                              <w:spacing w:val="-2"/>
                              <w:sz w:val="20"/>
                              <w:szCs w:val="20"/>
                            </w:rPr>
                            <w:t>0</w:t>
                          </w:r>
                          <w:r>
                            <w:rPr>
                              <w:rFonts w:ascii="Times New Roman" w:eastAsia="Times New Roman" w:hAnsi="Times New Roman" w:cs="Times New Roman"/>
                              <w:spacing w:val="1"/>
                              <w:sz w:val="20"/>
                              <w:szCs w:val="20"/>
                            </w:rPr>
                            <w:t>05</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71pt;margin-top:744.45pt;width:76.45pt;height:11.95pt;z-index:-12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lIrwIAAK8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" filled="f" stroked="f">
              <v:textbox inset="0,0,0,0">
                <w:txbxContent>
                  <w:p w:rsidR="007A09EB" w:rsidRDefault="007A09EB">
                    <w:pPr>
                      <w:spacing w:line="224" w:lineRule="exact"/>
                      <w:ind w:left="20"/>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00</w:t>
                    </w:r>
                    <w:r>
                      <w:rPr>
                        <w:rFonts w:ascii="Times New Roman" w:eastAsia="Times New Roman" w:hAnsi="Times New Roman" w:cs="Times New Roman"/>
                        <w:spacing w:val="-2"/>
                        <w:sz w:val="20"/>
                        <w:szCs w:val="20"/>
                      </w:rPr>
                      <w:t>0</w:t>
                    </w:r>
                    <w:r>
                      <w:rPr>
                        <w:rFonts w:ascii="Times New Roman" w:eastAsia="Times New Roman" w:hAnsi="Times New Roman" w:cs="Times New Roman"/>
                        <w:spacing w:val="1"/>
                        <w:sz w:val="20"/>
                        <w:szCs w:val="20"/>
                      </w:rPr>
                      <w:t>37</w:t>
                    </w:r>
                    <w:r>
                      <w:rPr>
                        <w:rFonts w:ascii="Times New Roman" w:eastAsia="Times New Roman" w:hAnsi="Times New Roman" w:cs="Times New Roman"/>
                        <w:spacing w:val="-2"/>
                        <w:sz w:val="20"/>
                        <w:szCs w:val="20"/>
                      </w:rPr>
                      <w:t>0</w:t>
                    </w:r>
                    <w:r>
                      <w:rPr>
                        <w:rFonts w:ascii="Times New Roman" w:eastAsia="Times New Roman" w:hAnsi="Times New Roman" w:cs="Times New Roman"/>
                        <w:spacing w:val="1"/>
                        <w:sz w:val="20"/>
                        <w:szCs w:val="20"/>
                      </w:rPr>
                      <w:t>05</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1</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9EB" w:rsidRDefault="007A09EB">
    <w:pPr>
      <w:spacing w:line="200" w:lineRule="exact"/>
      <w:rPr>
        <w:sz w:val="20"/>
        <w:szCs w:val="20"/>
      </w:rPr>
    </w:pPr>
    <w:r>
      <w:rPr>
        <w:noProof/>
        <w:lang w:val="en-CA" w:eastAsia="en-CA"/>
      </w:rPr>
      <mc:AlternateContent>
        <mc:Choice Requires="wps">
          <w:drawing>
            <wp:anchor distT="0" distB="0" distL="114300" distR="114300" simplePos="0" relativeHeight="503315187" behindDoc="1" locked="0" layoutInCell="1" allowOverlap="1">
              <wp:simplePos x="0" y="0"/>
              <wp:positionH relativeFrom="page">
                <wp:posOffset>901700</wp:posOffset>
              </wp:positionH>
              <wp:positionV relativeFrom="page">
                <wp:posOffset>9454515</wp:posOffset>
              </wp:positionV>
              <wp:extent cx="970915" cy="151765"/>
              <wp:effectExtent l="0" t="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9EB" w:rsidRDefault="007A09EB">
                          <w:pPr>
                            <w:spacing w:line="224" w:lineRule="exact"/>
                            <w:ind w:left="20"/>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00</w:t>
                          </w:r>
                          <w:r>
                            <w:rPr>
                              <w:rFonts w:ascii="Times New Roman" w:eastAsia="Times New Roman" w:hAnsi="Times New Roman" w:cs="Times New Roman"/>
                              <w:spacing w:val="-2"/>
                              <w:sz w:val="20"/>
                              <w:szCs w:val="20"/>
                            </w:rPr>
                            <w:t>0</w:t>
                          </w:r>
                          <w:r>
                            <w:rPr>
                              <w:rFonts w:ascii="Times New Roman" w:eastAsia="Times New Roman" w:hAnsi="Times New Roman" w:cs="Times New Roman"/>
                              <w:spacing w:val="1"/>
                              <w:sz w:val="20"/>
                              <w:szCs w:val="20"/>
                            </w:rPr>
                            <w:t>37</w:t>
                          </w:r>
                          <w:r>
                            <w:rPr>
                              <w:rFonts w:ascii="Times New Roman" w:eastAsia="Times New Roman" w:hAnsi="Times New Roman" w:cs="Times New Roman"/>
                              <w:spacing w:val="-2"/>
                              <w:sz w:val="20"/>
                              <w:szCs w:val="20"/>
                            </w:rPr>
                            <w:t>0</w:t>
                          </w:r>
                          <w:r>
                            <w:rPr>
                              <w:rFonts w:ascii="Times New Roman" w:eastAsia="Times New Roman" w:hAnsi="Times New Roman" w:cs="Times New Roman"/>
                              <w:spacing w:val="1"/>
                              <w:sz w:val="20"/>
                              <w:szCs w:val="20"/>
                            </w:rPr>
                            <w:t>05</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71pt;margin-top:744.45pt;width:76.45pt;height:11.95pt;z-index:-12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" filled="f" stroked="f">
              <v:textbox inset="0,0,0,0">
                <w:txbxContent>
                  <w:p w:rsidR="007A09EB" w:rsidRDefault="007A09EB">
                    <w:pPr>
                      <w:spacing w:line="224" w:lineRule="exact"/>
                      <w:ind w:left="20"/>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00</w:t>
                    </w:r>
                    <w:r>
                      <w:rPr>
                        <w:rFonts w:ascii="Times New Roman" w:eastAsia="Times New Roman" w:hAnsi="Times New Roman" w:cs="Times New Roman"/>
                        <w:spacing w:val="-2"/>
                        <w:sz w:val="20"/>
                        <w:szCs w:val="20"/>
                      </w:rPr>
                      <w:t>0</w:t>
                    </w:r>
                    <w:r>
                      <w:rPr>
                        <w:rFonts w:ascii="Times New Roman" w:eastAsia="Times New Roman" w:hAnsi="Times New Roman" w:cs="Times New Roman"/>
                        <w:spacing w:val="1"/>
                        <w:sz w:val="20"/>
                        <w:szCs w:val="20"/>
                      </w:rPr>
                      <w:t>37</w:t>
                    </w:r>
                    <w:r>
                      <w:rPr>
                        <w:rFonts w:ascii="Times New Roman" w:eastAsia="Times New Roman" w:hAnsi="Times New Roman" w:cs="Times New Roman"/>
                        <w:spacing w:val="-2"/>
                        <w:sz w:val="20"/>
                        <w:szCs w:val="20"/>
                      </w:rPr>
                      <w:t>0</w:t>
                    </w:r>
                    <w:r>
                      <w:rPr>
                        <w:rFonts w:ascii="Times New Roman" w:eastAsia="Times New Roman" w:hAnsi="Times New Roman" w:cs="Times New Roman"/>
                        <w:spacing w:val="1"/>
                        <w:sz w:val="20"/>
                        <w:szCs w:val="20"/>
                      </w:rPr>
                      <w:t>05</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9EB" w:rsidRDefault="007A09EB" w:rsidP="00047FAE">
      <w:r>
        <w:separator/>
      </w:r>
    </w:p>
  </w:footnote>
  <w:footnote w:type="continuationSeparator" w:id="0">
    <w:p w:rsidR="007A09EB" w:rsidRDefault="007A09EB" w:rsidP="00047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9EB" w:rsidRDefault="007A09EB">
    <w:pPr>
      <w:spacing w:line="200" w:lineRule="exact"/>
      <w:rPr>
        <w:sz w:val="20"/>
        <w:szCs w:val="20"/>
      </w:rPr>
    </w:pPr>
    <w:r>
      <w:rPr>
        <w:noProof/>
        <w:lang w:val="en-CA" w:eastAsia="en-CA"/>
      </w:rPr>
      <mc:AlternateContent>
        <mc:Choice Requires="wps">
          <w:drawing>
            <wp:anchor distT="0" distB="0" distL="114300" distR="114300" simplePos="0" relativeHeight="503315178" behindDoc="1" locked="0" layoutInCell="1" allowOverlap="1">
              <wp:simplePos x="0" y="0"/>
              <wp:positionH relativeFrom="page">
                <wp:posOffset>3745230</wp:posOffset>
              </wp:positionH>
              <wp:positionV relativeFrom="page">
                <wp:posOffset>459105</wp:posOffset>
              </wp:positionV>
              <wp:extent cx="278765" cy="177800"/>
              <wp:effectExtent l="1905" t="1905" r="0" b="127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9EB" w:rsidRDefault="007A09EB">
                          <w:pPr>
                            <w:pStyle w:val="BodyText"/>
                            <w:spacing w:line="265" w:lineRule="exact"/>
                            <w:ind w:lef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 xml:space="preserve"> </w:t>
                          </w:r>
                          <w:r>
                            <w:fldChar w:fldCharType="begin"/>
                          </w:r>
                          <w:r>
                            <w:rPr>
                              <w:rFonts w:ascii="Times New Roman" w:eastAsia="Times New Roman" w:hAnsi="Times New Roman" w:cs="Times New Roman"/>
                            </w:rPr>
                            <w:instrText xml:space="preserve"> PAGE </w:instrText>
                          </w:r>
                          <w:r>
                            <w:fldChar w:fldCharType="separate"/>
                          </w:r>
                          <w:r w:rsidR="000D4F00">
                            <w:rPr>
                              <w:rFonts w:ascii="Times New Roman" w:eastAsia="Times New Roman" w:hAnsi="Times New Roman" w:cs="Times New Roman"/>
                              <w:noProof/>
                            </w:rPr>
                            <w:t>3</w:t>
                          </w:r>
                          <w:r>
                            <w:fldChar w:fldCharType="end"/>
                          </w:r>
                          <w:r>
                            <w:rPr>
                              <w:rFonts w:ascii="Times New Roman" w:eastAsia="Times New Roman" w:hAnsi="Times New Roman" w:cs="Times New Roma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294.9pt;margin-top:36.15pt;width:21.95pt;height:14pt;z-index:-13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" filled="f" stroked="f">
              <v:textbox inset="0,0,0,0">
                <w:txbxContent>
                  <w:p w:rsidR="007A09EB" w:rsidRDefault="007A09EB">
                    <w:pPr>
                      <w:pStyle w:val="BodyText"/>
                      <w:spacing w:line="265" w:lineRule="exact"/>
                      <w:ind w:lef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 xml:space="preserve"> </w:t>
                    </w:r>
                    <w:r>
                      <w:fldChar w:fldCharType="begin"/>
                    </w:r>
                    <w:r>
                      <w:rPr>
                        <w:rFonts w:ascii="Times New Roman" w:eastAsia="Times New Roman" w:hAnsi="Times New Roman" w:cs="Times New Roman"/>
                      </w:rPr>
                      <w:instrText xml:space="preserve"> PAGE </w:instrText>
                    </w:r>
                    <w:r>
                      <w:fldChar w:fldCharType="separate"/>
                    </w:r>
                    <w:r w:rsidR="000D4F00">
                      <w:rPr>
                        <w:rFonts w:ascii="Times New Roman" w:eastAsia="Times New Roman" w:hAnsi="Times New Roman" w:cs="Times New Roman"/>
                        <w:noProof/>
                      </w:rPr>
                      <w:t>3</w:t>
                    </w:r>
                    <w:r>
                      <w:fldChar w:fldCharType="end"/>
                    </w:r>
                    <w:r>
                      <w:rPr>
                        <w:rFonts w:ascii="Times New Roman" w:eastAsia="Times New Roman" w:hAnsi="Times New Roman" w:cs="Times New Roman"/>
                      </w:rPr>
                      <w:t xml:space="preserve"> -</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9EB" w:rsidRDefault="007A09EB">
    <w:pPr>
      <w:spacing w:line="200" w:lineRule="exact"/>
      <w:rPr>
        <w:sz w:val="20"/>
        <w:szCs w:val="20"/>
      </w:rPr>
    </w:pPr>
    <w:r>
      <w:rPr>
        <w:noProof/>
        <w:lang w:val="en-CA" w:eastAsia="en-CA"/>
      </w:rPr>
      <mc:AlternateContent>
        <mc:Choice Requires="wps">
          <w:drawing>
            <wp:anchor distT="0" distB="0" distL="114300" distR="114300" simplePos="0" relativeHeight="503315179" behindDoc="1" locked="0" layoutInCell="1" allowOverlap="1">
              <wp:simplePos x="0" y="0"/>
              <wp:positionH relativeFrom="page">
                <wp:posOffset>3707130</wp:posOffset>
              </wp:positionH>
              <wp:positionV relativeFrom="page">
                <wp:posOffset>459105</wp:posOffset>
              </wp:positionV>
              <wp:extent cx="354965" cy="177800"/>
              <wp:effectExtent l="1905" t="1905" r="0" b="127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9EB" w:rsidRDefault="007A09EB">
                          <w:pPr>
                            <w:pStyle w:val="BodyText"/>
                            <w:spacing w:line="265" w:lineRule="exact"/>
                            <w:ind w:lef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 xml:space="preserve"> </w:t>
                          </w:r>
                          <w:r>
                            <w:fldChar w:fldCharType="begin"/>
                          </w:r>
                          <w:r>
                            <w:rPr>
                              <w:rFonts w:ascii="Times New Roman" w:eastAsia="Times New Roman" w:hAnsi="Times New Roman" w:cs="Times New Roman"/>
                            </w:rPr>
                            <w:instrText xml:space="preserve"> PAGE </w:instrText>
                          </w:r>
                          <w:r>
                            <w:fldChar w:fldCharType="separate"/>
                          </w:r>
                          <w:r w:rsidR="000D4F00">
                            <w:rPr>
                              <w:rFonts w:ascii="Times New Roman" w:eastAsia="Times New Roman" w:hAnsi="Times New Roman" w:cs="Times New Roman"/>
                              <w:noProof/>
                            </w:rPr>
                            <w:t>27</w:t>
                          </w:r>
                          <w:r>
                            <w:fldChar w:fldCharType="end"/>
                          </w:r>
                          <w:r>
                            <w:rPr>
                              <w:rFonts w:ascii="Times New Roman" w:eastAsia="Times New Roman" w:hAnsi="Times New Roman" w:cs="Times New Roma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291.9pt;margin-top:36.15pt;width:27.95pt;height:14pt;z-index:-13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oIswIAAK8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" filled="f" stroked="f">
              <v:textbox inset="0,0,0,0">
                <w:txbxContent>
                  <w:p w:rsidR="007A09EB" w:rsidRDefault="007A09EB">
                    <w:pPr>
                      <w:pStyle w:val="BodyText"/>
                      <w:spacing w:line="265" w:lineRule="exact"/>
                      <w:ind w:lef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 xml:space="preserve"> </w:t>
                    </w:r>
                    <w:r>
                      <w:fldChar w:fldCharType="begin"/>
                    </w:r>
                    <w:r>
                      <w:rPr>
                        <w:rFonts w:ascii="Times New Roman" w:eastAsia="Times New Roman" w:hAnsi="Times New Roman" w:cs="Times New Roman"/>
                      </w:rPr>
                      <w:instrText xml:space="preserve"> PAGE </w:instrText>
                    </w:r>
                    <w:r>
                      <w:fldChar w:fldCharType="separate"/>
                    </w:r>
                    <w:r w:rsidR="000D4F00">
                      <w:rPr>
                        <w:rFonts w:ascii="Times New Roman" w:eastAsia="Times New Roman" w:hAnsi="Times New Roman" w:cs="Times New Roman"/>
                        <w:noProof/>
                      </w:rPr>
                      <w:t>27</w:t>
                    </w:r>
                    <w:r>
                      <w:fldChar w:fldCharType="end"/>
                    </w:r>
                    <w:r>
                      <w:rPr>
                        <w:rFonts w:ascii="Times New Roman" w:eastAsia="Times New Roman" w:hAnsi="Times New Roman" w:cs="Times New Roman"/>
                      </w:rPr>
                      <w:t xml:space="preserve"> -</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9EB" w:rsidRDefault="007A09EB">
    <w:pPr>
      <w:spacing w:line="200" w:lineRule="exact"/>
      <w:rPr>
        <w:sz w:val="20"/>
        <w:szCs w:val="20"/>
      </w:rPr>
    </w:pPr>
    <w:r>
      <w:rPr>
        <w:noProof/>
        <w:lang w:val="en-CA" w:eastAsia="en-CA"/>
      </w:rPr>
      <mc:AlternateContent>
        <mc:Choice Requires="wps">
          <w:drawing>
            <wp:anchor distT="0" distB="0" distL="114300" distR="114300" simplePos="0" relativeHeight="503315181" behindDoc="1" locked="0" layoutInCell="1" allowOverlap="1">
              <wp:simplePos x="0" y="0"/>
              <wp:positionH relativeFrom="page">
                <wp:posOffset>3745230</wp:posOffset>
              </wp:positionH>
              <wp:positionV relativeFrom="page">
                <wp:posOffset>459105</wp:posOffset>
              </wp:positionV>
              <wp:extent cx="278765" cy="177800"/>
              <wp:effectExtent l="1905" t="1905" r="0" b="127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9EB" w:rsidRDefault="007A09EB">
                          <w:pPr>
                            <w:pStyle w:val="BodyText"/>
                            <w:spacing w:line="265" w:lineRule="exact"/>
                            <w:ind w:lef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 xml:space="preserve"> </w:t>
                          </w:r>
                          <w:r>
                            <w:fldChar w:fldCharType="begin"/>
                          </w:r>
                          <w:r>
                            <w:rPr>
                              <w:rFonts w:ascii="Times New Roman" w:eastAsia="Times New Roman" w:hAnsi="Times New Roman" w:cs="Times New Roman"/>
                            </w:rPr>
                            <w:instrText xml:space="preserve"> PAGE </w:instrText>
                          </w:r>
                          <w:r>
                            <w:fldChar w:fldCharType="separate"/>
                          </w:r>
                          <w:r w:rsidR="000D4F00">
                            <w:rPr>
                              <w:rFonts w:ascii="Times New Roman" w:eastAsia="Times New Roman" w:hAnsi="Times New Roman" w:cs="Times New Roman"/>
                              <w:noProof/>
                            </w:rPr>
                            <w:t>31</w:t>
                          </w:r>
                          <w:r>
                            <w:fldChar w:fldCharType="end"/>
                          </w:r>
                          <w:r>
                            <w:rPr>
                              <w:rFonts w:ascii="Times New Roman" w:eastAsia="Times New Roman" w:hAnsi="Times New Roman" w:cs="Times New Roma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294.9pt;margin-top:36.15pt;width:21.95pt;height:14pt;z-index:-12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" filled="f" stroked="f">
              <v:textbox inset="0,0,0,0">
                <w:txbxContent>
                  <w:p w:rsidR="007A09EB" w:rsidRDefault="007A09EB">
                    <w:pPr>
                      <w:pStyle w:val="BodyText"/>
                      <w:spacing w:line="265" w:lineRule="exact"/>
                      <w:ind w:lef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 xml:space="preserve"> </w:t>
                    </w:r>
                    <w:r>
                      <w:fldChar w:fldCharType="begin"/>
                    </w:r>
                    <w:r>
                      <w:rPr>
                        <w:rFonts w:ascii="Times New Roman" w:eastAsia="Times New Roman" w:hAnsi="Times New Roman" w:cs="Times New Roman"/>
                      </w:rPr>
                      <w:instrText xml:space="preserve"> PAGE </w:instrText>
                    </w:r>
                    <w:r>
                      <w:fldChar w:fldCharType="separate"/>
                    </w:r>
                    <w:r w:rsidR="000D4F00">
                      <w:rPr>
                        <w:rFonts w:ascii="Times New Roman" w:eastAsia="Times New Roman" w:hAnsi="Times New Roman" w:cs="Times New Roman"/>
                        <w:noProof/>
                      </w:rPr>
                      <w:t>31</w:t>
                    </w:r>
                    <w:r>
                      <w:fldChar w:fldCharType="end"/>
                    </w:r>
                    <w:r>
                      <w:rPr>
                        <w:rFonts w:ascii="Times New Roman" w:eastAsia="Times New Roman" w:hAnsi="Times New Roman" w:cs="Times New Roman"/>
                      </w:rPr>
                      <w:t xml:space="preserve"> -</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9EB" w:rsidRDefault="007A09EB">
    <w:pPr>
      <w:spacing w:line="200" w:lineRule="exact"/>
      <w:rPr>
        <w:sz w:val="20"/>
        <w:szCs w:val="20"/>
      </w:rPr>
    </w:pPr>
    <w:r>
      <w:rPr>
        <w:noProof/>
        <w:lang w:val="en-CA" w:eastAsia="en-CA"/>
      </w:rPr>
      <mc:AlternateContent>
        <mc:Choice Requires="wps">
          <w:drawing>
            <wp:anchor distT="0" distB="0" distL="114300" distR="114300" simplePos="0" relativeHeight="503315183" behindDoc="1" locked="0" layoutInCell="1" allowOverlap="1">
              <wp:simplePos x="0" y="0"/>
              <wp:positionH relativeFrom="page">
                <wp:posOffset>3745230</wp:posOffset>
              </wp:positionH>
              <wp:positionV relativeFrom="page">
                <wp:posOffset>459105</wp:posOffset>
              </wp:positionV>
              <wp:extent cx="278765" cy="177800"/>
              <wp:effectExtent l="1905" t="190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9EB" w:rsidRDefault="007A09EB">
                          <w:pPr>
                            <w:pStyle w:val="BodyText"/>
                            <w:spacing w:line="265" w:lineRule="exact"/>
                            <w:ind w:lef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 xml:space="preserve"> </w:t>
                          </w:r>
                          <w:r>
                            <w:fldChar w:fldCharType="begin"/>
                          </w:r>
                          <w:r>
                            <w:rPr>
                              <w:rFonts w:ascii="Times New Roman" w:eastAsia="Times New Roman" w:hAnsi="Times New Roman" w:cs="Times New Roman"/>
                            </w:rPr>
                            <w:instrText xml:space="preserve"> PAGE </w:instrText>
                          </w:r>
                          <w:r>
                            <w:fldChar w:fldCharType="separate"/>
                          </w:r>
                          <w:r w:rsidR="000D4F00">
                            <w:rPr>
                              <w:rFonts w:ascii="Times New Roman" w:eastAsia="Times New Roman" w:hAnsi="Times New Roman" w:cs="Times New Roman"/>
                              <w:noProof/>
                            </w:rPr>
                            <w:t>38</w:t>
                          </w:r>
                          <w:r>
                            <w:fldChar w:fldCharType="end"/>
                          </w:r>
                          <w:r>
                            <w:rPr>
                              <w:rFonts w:ascii="Times New Roman" w:eastAsia="Times New Roman" w:hAnsi="Times New Roman" w:cs="Times New Roma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294.9pt;margin-top:36.15pt;width:21.95pt;height:14pt;z-index:-12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" filled="f" stroked="f">
              <v:textbox inset="0,0,0,0">
                <w:txbxContent>
                  <w:p w:rsidR="007A09EB" w:rsidRDefault="007A09EB">
                    <w:pPr>
                      <w:pStyle w:val="BodyText"/>
                      <w:spacing w:line="265" w:lineRule="exact"/>
                      <w:ind w:lef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 xml:space="preserve"> </w:t>
                    </w:r>
                    <w:r>
                      <w:fldChar w:fldCharType="begin"/>
                    </w:r>
                    <w:r>
                      <w:rPr>
                        <w:rFonts w:ascii="Times New Roman" w:eastAsia="Times New Roman" w:hAnsi="Times New Roman" w:cs="Times New Roman"/>
                      </w:rPr>
                      <w:instrText xml:space="preserve"> PAGE </w:instrText>
                    </w:r>
                    <w:r>
                      <w:fldChar w:fldCharType="separate"/>
                    </w:r>
                    <w:r w:rsidR="000D4F00">
                      <w:rPr>
                        <w:rFonts w:ascii="Times New Roman" w:eastAsia="Times New Roman" w:hAnsi="Times New Roman" w:cs="Times New Roman"/>
                        <w:noProof/>
                      </w:rPr>
                      <w:t>38</w:t>
                    </w:r>
                    <w:r>
                      <w:fldChar w:fldCharType="end"/>
                    </w:r>
                    <w:r>
                      <w:rPr>
                        <w:rFonts w:ascii="Times New Roman" w:eastAsia="Times New Roman" w:hAnsi="Times New Roman" w:cs="Times New Roman"/>
                      </w:rPr>
                      <w:t xml:space="preserve"> -</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9EB" w:rsidRDefault="007A09EB">
    <w:pPr>
      <w:spacing w:line="200" w:lineRule="exact"/>
      <w:rPr>
        <w:sz w:val="20"/>
        <w:szCs w:val="20"/>
      </w:rPr>
    </w:pPr>
    <w:r>
      <w:rPr>
        <w:noProof/>
        <w:lang w:val="en-CA" w:eastAsia="en-CA"/>
      </w:rPr>
      <mc:AlternateContent>
        <mc:Choice Requires="wps">
          <w:drawing>
            <wp:anchor distT="0" distB="0" distL="114300" distR="114300" simplePos="0" relativeHeight="503315185" behindDoc="1" locked="0" layoutInCell="1" allowOverlap="1" wp14:anchorId="119E511B" wp14:editId="019A4610">
              <wp:simplePos x="0" y="0"/>
              <wp:positionH relativeFrom="page">
                <wp:posOffset>3745230</wp:posOffset>
              </wp:positionH>
              <wp:positionV relativeFrom="page">
                <wp:posOffset>459105</wp:posOffset>
              </wp:positionV>
              <wp:extent cx="278765" cy="177800"/>
              <wp:effectExtent l="1905" t="1905"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9EB" w:rsidRDefault="007A09EB">
                          <w:pPr>
                            <w:pStyle w:val="BodyText"/>
                            <w:spacing w:line="265" w:lineRule="exact"/>
                            <w:ind w:lef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 xml:space="preserve"> </w:t>
                          </w:r>
                          <w:r>
                            <w:fldChar w:fldCharType="begin"/>
                          </w:r>
                          <w:r>
                            <w:rPr>
                              <w:rFonts w:ascii="Times New Roman" w:eastAsia="Times New Roman" w:hAnsi="Times New Roman" w:cs="Times New Roman"/>
                            </w:rPr>
                            <w:instrText xml:space="preserve"> PAGE </w:instrText>
                          </w:r>
                          <w:r>
                            <w:fldChar w:fldCharType="separate"/>
                          </w:r>
                          <w:r w:rsidR="000D4F00">
                            <w:rPr>
                              <w:rFonts w:ascii="Times New Roman" w:eastAsia="Times New Roman" w:hAnsi="Times New Roman" w:cs="Times New Roman"/>
                              <w:noProof/>
                            </w:rPr>
                            <w:t>40</w:t>
                          </w:r>
                          <w:r>
                            <w:fldChar w:fldCharType="end"/>
                          </w:r>
                          <w:r>
                            <w:rPr>
                              <w:rFonts w:ascii="Times New Roman" w:eastAsia="Times New Roman" w:hAnsi="Times New Roman" w:cs="Times New Roma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294.9pt;margin-top:36.15pt;width:21.95pt;height:14pt;z-index:-12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" filled="f" stroked="f">
              <v:textbox inset="0,0,0,0">
                <w:txbxContent>
                  <w:p w:rsidR="007A09EB" w:rsidRDefault="007A09EB">
                    <w:pPr>
                      <w:pStyle w:val="BodyText"/>
                      <w:spacing w:line="265" w:lineRule="exact"/>
                      <w:ind w:lef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 xml:space="preserve"> </w:t>
                    </w:r>
                    <w:r>
                      <w:fldChar w:fldCharType="begin"/>
                    </w:r>
                    <w:r>
                      <w:rPr>
                        <w:rFonts w:ascii="Times New Roman" w:eastAsia="Times New Roman" w:hAnsi="Times New Roman" w:cs="Times New Roman"/>
                      </w:rPr>
                      <w:instrText xml:space="preserve"> PAGE </w:instrText>
                    </w:r>
                    <w:r>
                      <w:fldChar w:fldCharType="separate"/>
                    </w:r>
                    <w:r w:rsidR="000D4F00">
                      <w:rPr>
                        <w:rFonts w:ascii="Times New Roman" w:eastAsia="Times New Roman" w:hAnsi="Times New Roman" w:cs="Times New Roman"/>
                        <w:noProof/>
                      </w:rPr>
                      <w:t>40</w:t>
                    </w:r>
                    <w:r>
                      <w:fldChar w:fldCharType="end"/>
                    </w:r>
                    <w:r>
                      <w:rPr>
                        <w:rFonts w:ascii="Times New Roman" w:eastAsia="Times New Roman" w:hAnsi="Times New Roman" w:cs="Times New Roman"/>
                      </w:rPr>
                      <w:t xml:space="preserve"> -</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9EB" w:rsidRDefault="007A09EB">
    <w:pPr>
      <w:spacing w:line="0" w:lineRule="atLeast"/>
      <w:rPr>
        <w:sz w:val="4"/>
        <w:szCs w:val="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9EB" w:rsidRDefault="007A09EB">
    <w:pPr>
      <w:spacing w:line="0" w:lineRule="atLea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496"/>
    <w:multiLevelType w:val="hybridMultilevel"/>
    <w:tmpl w:val="22BABAEE"/>
    <w:lvl w:ilvl="0" w:tplc="ECF2855E">
      <w:start w:val="1"/>
      <w:numFmt w:val="bullet"/>
      <w:lvlText w:val="•"/>
      <w:lvlJc w:val="left"/>
      <w:pPr>
        <w:ind w:hanging="360"/>
      </w:pPr>
      <w:rPr>
        <w:rFonts w:ascii="Arial" w:eastAsia="Arial" w:hAnsi="Arial" w:hint="default"/>
        <w:w w:val="131"/>
        <w:sz w:val="24"/>
        <w:szCs w:val="24"/>
      </w:rPr>
    </w:lvl>
    <w:lvl w:ilvl="1" w:tplc="D0F0019E">
      <w:start w:val="1"/>
      <w:numFmt w:val="bullet"/>
      <w:lvlText w:val="•"/>
      <w:lvlJc w:val="left"/>
      <w:rPr>
        <w:rFonts w:hint="default"/>
      </w:rPr>
    </w:lvl>
    <w:lvl w:ilvl="2" w:tplc="5E7ACB6C">
      <w:start w:val="1"/>
      <w:numFmt w:val="bullet"/>
      <w:lvlText w:val="•"/>
      <w:lvlJc w:val="left"/>
      <w:rPr>
        <w:rFonts w:hint="default"/>
      </w:rPr>
    </w:lvl>
    <w:lvl w:ilvl="3" w:tplc="8B3E501C">
      <w:start w:val="1"/>
      <w:numFmt w:val="bullet"/>
      <w:lvlText w:val="•"/>
      <w:lvlJc w:val="left"/>
      <w:rPr>
        <w:rFonts w:hint="default"/>
      </w:rPr>
    </w:lvl>
    <w:lvl w:ilvl="4" w:tplc="DC5A0134">
      <w:start w:val="1"/>
      <w:numFmt w:val="bullet"/>
      <w:lvlText w:val="•"/>
      <w:lvlJc w:val="left"/>
      <w:rPr>
        <w:rFonts w:hint="default"/>
      </w:rPr>
    </w:lvl>
    <w:lvl w:ilvl="5" w:tplc="8FCAA688">
      <w:start w:val="1"/>
      <w:numFmt w:val="bullet"/>
      <w:lvlText w:val="•"/>
      <w:lvlJc w:val="left"/>
      <w:rPr>
        <w:rFonts w:hint="default"/>
      </w:rPr>
    </w:lvl>
    <w:lvl w:ilvl="6" w:tplc="2752D224">
      <w:start w:val="1"/>
      <w:numFmt w:val="bullet"/>
      <w:lvlText w:val="•"/>
      <w:lvlJc w:val="left"/>
      <w:rPr>
        <w:rFonts w:hint="default"/>
      </w:rPr>
    </w:lvl>
    <w:lvl w:ilvl="7" w:tplc="5DA4F2C2">
      <w:start w:val="1"/>
      <w:numFmt w:val="bullet"/>
      <w:lvlText w:val="•"/>
      <w:lvlJc w:val="left"/>
      <w:rPr>
        <w:rFonts w:hint="default"/>
      </w:rPr>
    </w:lvl>
    <w:lvl w:ilvl="8" w:tplc="B55AB75A">
      <w:start w:val="1"/>
      <w:numFmt w:val="bullet"/>
      <w:lvlText w:val="•"/>
      <w:lvlJc w:val="left"/>
      <w:rPr>
        <w:rFonts w:hint="default"/>
      </w:rPr>
    </w:lvl>
  </w:abstractNum>
  <w:abstractNum w:abstractNumId="1">
    <w:nsid w:val="02E9634B"/>
    <w:multiLevelType w:val="hybridMultilevel"/>
    <w:tmpl w:val="150AA96E"/>
    <w:lvl w:ilvl="0" w:tplc="790EA3EC">
      <w:start w:val="1"/>
      <w:numFmt w:val="decimal"/>
      <w:lvlText w:val="%1."/>
      <w:lvlJc w:val="left"/>
      <w:pPr>
        <w:ind w:hanging="720"/>
      </w:pPr>
      <w:rPr>
        <w:rFonts w:ascii="Arial" w:eastAsia="Arial" w:hAnsi="Arial" w:hint="default"/>
        <w:sz w:val="24"/>
        <w:szCs w:val="24"/>
      </w:rPr>
    </w:lvl>
    <w:lvl w:ilvl="1" w:tplc="38269100">
      <w:start w:val="1"/>
      <w:numFmt w:val="lowerLetter"/>
      <w:lvlText w:val="(%2)"/>
      <w:lvlJc w:val="left"/>
      <w:pPr>
        <w:ind w:hanging="720"/>
      </w:pPr>
      <w:rPr>
        <w:rFonts w:ascii="Arial" w:eastAsia="Arial" w:hAnsi="Arial" w:hint="default"/>
        <w:spacing w:val="-1"/>
        <w:sz w:val="24"/>
        <w:szCs w:val="24"/>
      </w:rPr>
    </w:lvl>
    <w:lvl w:ilvl="2" w:tplc="59047B28">
      <w:start w:val="1"/>
      <w:numFmt w:val="bullet"/>
      <w:lvlText w:val="•"/>
      <w:lvlJc w:val="left"/>
      <w:rPr>
        <w:rFonts w:hint="default"/>
      </w:rPr>
    </w:lvl>
    <w:lvl w:ilvl="3" w:tplc="24424154">
      <w:start w:val="1"/>
      <w:numFmt w:val="bullet"/>
      <w:lvlText w:val="•"/>
      <w:lvlJc w:val="left"/>
      <w:rPr>
        <w:rFonts w:hint="default"/>
      </w:rPr>
    </w:lvl>
    <w:lvl w:ilvl="4" w:tplc="BFA6DF0C">
      <w:start w:val="1"/>
      <w:numFmt w:val="bullet"/>
      <w:lvlText w:val="•"/>
      <w:lvlJc w:val="left"/>
      <w:rPr>
        <w:rFonts w:hint="default"/>
      </w:rPr>
    </w:lvl>
    <w:lvl w:ilvl="5" w:tplc="8EDAA342">
      <w:start w:val="1"/>
      <w:numFmt w:val="bullet"/>
      <w:lvlText w:val="•"/>
      <w:lvlJc w:val="left"/>
      <w:rPr>
        <w:rFonts w:hint="default"/>
      </w:rPr>
    </w:lvl>
    <w:lvl w:ilvl="6" w:tplc="A8EE58A2">
      <w:start w:val="1"/>
      <w:numFmt w:val="bullet"/>
      <w:lvlText w:val="•"/>
      <w:lvlJc w:val="left"/>
      <w:rPr>
        <w:rFonts w:hint="default"/>
      </w:rPr>
    </w:lvl>
    <w:lvl w:ilvl="7" w:tplc="B9F21B08">
      <w:start w:val="1"/>
      <w:numFmt w:val="bullet"/>
      <w:lvlText w:val="•"/>
      <w:lvlJc w:val="left"/>
      <w:rPr>
        <w:rFonts w:hint="default"/>
      </w:rPr>
    </w:lvl>
    <w:lvl w:ilvl="8" w:tplc="4E8253B0">
      <w:start w:val="1"/>
      <w:numFmt w:val="bullet"/>
      <w:lvlText w:val="•"/>
      <w:lvlJc w:val="left"/>
      <w:rPr>
        <w:rFonts w:hint="default"/>
      </w:rPr>
    </w:lvl>
  </w:abstractNum>
  <w:abstractNum w:abstractNumId="2">
    <w:nsid w:val="075E447A"/>
    <w:multiLevelType w:val="hybridMultilevel"/>
    <w:tmpl w:val="A1A264E8"/>
    <w:lvl w:ilvl="0" w:tplc="A25C40EC">
      <w:start w:val="1"/>
      <w:numFmt w:val="lowerLetter"/>
      <w:lvlText w:val="(%1)"/>
      <w:lvlJc w:val="left"/>
      <w:pPr>
        <w:ind w:hanging="720"/>
      </w:pPr>
      <w:rPr>
        <w:rFonts w:ascii="Arial" w:eastAsia="Arial" w:hAnsi="Arial" w:hint="default"/>
        <w:spacing w:val="-1"/>
        <w:sz w:val="24"/>
        <w:szCs w:val="24"/>
      </w:rPr>
    </w:lvl>
    <w:lvl w:ilvl="1" w:tplc="08A26EB4">
      <w:start w:val="1"/>
      <w:numFmt w:val="lowerRoman"/>
      <w:lvlText w:val="(%2)"/>
      <w:lvlJc w:val="left"/>
      <w:pPr>
        <w:ind w:hanging="574"/>
      </w:pPr>
      <w:rPr>
        <w:rFonts w:ascii="Arial" w:eastAsia="Arial" w:hAnsi="Arial" w:hint="default"/>
        <w:spacing w:val="-1"/>
        <w:sz w:val="24"/>
        <w:szCs w:val="24"/>
      </w:rPr>
    </w:lvl>
    <w:lvl w:ilvl="2" w:tplc="719A98E8">
      <w:start w:val="1"/>
      <w:numFmt w:val="bullet"/>
      <w:lvlText w:val="•"/>
      <w:lvlJc w:val="left"/>
      <w:rPr>
        <w:rFonts w:hint="default"/>
      </w:rPr>
    </w:lvl>
    <w:lvl w:ilvl="3" w:tplc="8786BA0C">
      <w:start w:val="1"/>
      <w:numFmt w:val="bullet"/>
      <w:lvlText w:val="•"/>
      <w:lvlJc w:val="left"/>
      <w:rPr>
        <w:rFonts w:hint="default"/>
      </w:rPr>
    </w:lvl>
    <w:lvl w:ilvl="4" w:tplc="D48A47EE">
      <w:start w:val="1"/>
      <w:numFmt w:val="bullet"/>
      <w:lvlText w:val="•"/>
      <w:lvlJc w:val="left"/>
      <w:rPr>
        <w:rFonts w:hint="default"/>
      </w:rPr>
    </w:lvl>
    <w:lvl w:ilvl="5" w:tplc="F61650D8">
      <w:start w:val="1"/>
      <w:numFmt w:val="bullet"/>
      <w:lvlText w:val="•"/>
      <w:lvlJc w:val="left"/>
      <w:rPr>
        <w:rFonts w:hint="default"/>
      </w:rPr>
    </w:lvl>
    <w:lvl w:ilvl="6" w:tplc="D8E66884">
      <w:start w:val="1"/>
      <w:numFmt w:val="bullet"/>
      <w:lvlText w:val="•"/>
      <w:lvlJc w:val="left"/>
      <w:rPr>
        <w:rFonts w:hint="default"/>
      </w:rPr>
    </w:lvl>
    <w:lvl w:ilvl="7" w:tplc="0A8010A2">
      <w:start w:val="1"/>
      <w:numFmt w:val="bullet"/>
      <w:lvlText w:val="•"/>
      <w:lvlJc w:val="left"/>
      <w:rPr>
        <w:rFonts w:hint="default"/>
      </w:rPr>
    </w:lvl>
    <w:lvl w:ilvl="8" w:tplc="953A762E">
      <w:start w:val="1"/>
      <w:numFmt w:val="bullet"/>
      <w:lvlText w:val="•"/>
      <w:lvlJc w:val="left"/>
      <w:rPr>
        <w:rFonts w:hint="default"/>
      </w:rPr>
    </w:lvl>
  </w:abstractNum>
  <w:abstractNum w:abstractNumId="3">
    <w:nsid w:val="0AC44260"/>
    <w:multiLevelType w:val="hybridMultilevel"/>
    <w:tmpl w:val="5D120B36"/>
    <w:lvl w:ilvl="0" w:tplc="8ABAA57E">
      <w:start w:val="1"/>
      <w:numFmt w:val="decimal"/>
      <w:lvlText w:val="%1."/>
      <w:lvlJc w:val="left"/>
      <w:pPr>
        <w:ind w:hanging="360"/>
      </w:pPr>
      <w:rPr>
        <w:rFonts w:ascii="Arial" w:eastAsia="Arial" w:hAnsi="Arial" w:hint="default"/>
        <w:sz w:val="24"/>
        <w:szCs w:val="24"/>
      </w:rPr>
    </w:lvl>
    <w:lvl w:ilvl="1" w:tplc="6C08D06E">
      <w:start w:val="1"/>
      <w:numFmt w:val="bullet"/>
      <w:lvlText w:val="•"/>
      <w:lvlJc w:val="left"/>
      <w:rPr>
        <w:rFonts w:hint="default"/>
      </w:rPr>
    </w:lvl>
    <w:lvl w:ilvl="2" w:tplc="AFA4C19E">
      <w:start w:val="1"/>
      <w:numFmt w:val="bullet"/>
      <w:lvlText w:val="•"/>
      <w:lvlJc w:val="left"/>
      <w:rPr>
        <w:rFonts w:hint="default"/>
      </w:rPr>
    </w:lvl>
    <w:lvl w:ilvl="3" w:tplc="6C6C0708">
      <w:start w:val="1"/>
      <w:numFmt w:val="bullet"/>
      <w:lvlText w:val="•"/>
      <w:lvlJc w:val="left"/>
      <w:rPr>
        <w:rFonts w:hint="default"/>
      </w:rPr>
    </w:lvl>
    <w:lvl w:ilvl="4" w:tplc="F7E801A4">
      <w:start w:val="1"/>
      <w:numFmt w:val="bullet"/>
      <w:lvlText w:val="•"/>
      <w:lvlJc w:val="left"/>
      <w:rPr>
        <w:rFonts w:hint="default"/>
      </w:rPr>
    </w:lvl>
    <w:lvl w:ilvl="5" w:tplc="73725B14">
      <w:start w:val="1"/>
      <w:numFmt w:val="bullet"/>
      <w:lvlText w:val="•"/>
      <w:lvlJc w:val="left"/>
      <w:rPr>
        <w:rFonts w:hint="default"/>
      </w:rPr>
    </w:lvl>
    <w:lvl w:ilvl="6" w:tplc="ABF8C4D0">
      <w:start w:val="1"/>
      <w:numFmt w:val="bullet"/>
      <w:lvlText w:val="•"/>
      <w:lvlJc w:val="left"/>
      <w:rPr>
        <w:rFonts w:hint="default"/>
      </w:rPr>
    </w:lvl>
    <w:lvl w:ilvl="7" w:tplc="F56275CC">
      <w:start w:val="1"/>
      <w:numFmt w:val="bullet"/>
      <w:lvlText w:val="•"/>
      <w:lvlJc w:val="left"/>
      <w:rPr>
        <w:rFonts w:hint="default"/>
      </w:rPr>
    </w:lvl>
    <w:lvl w:ilvl="8" w:tplc="8C46F148">
      <w:start w:val="1"/>
      <w:numFmt w:val="bullet"/>
      <w:lvlText w:val="•"/>
      <w:lvlJc w:val="left"/>
      <w:rPr>
        <w:rFonts w:hint="default"/>
      </w:rPr>
    </w:lvl>
  </w:abstractNum>
  <w:abstractNum w:abstractNumId="4">
    <w:nsid w:val="11F76AC7"/>
    <w:multiLevelType w:val="hybridMultilevel"/>
    <w:tmpl w:val="25BC02B6"/>
    <w:lvl w:ilvl="0" w:tplc="773A4A48">
      <w:start w:val="1"/>
      <w:numFmt w:val="decimal"/>
      <w:lvlText w:val="%1."/>
      <w:lvlJc w:val="left"/>
      <w:pPr>
        <w:ind w:hanging="720"/>
      </w:pPr>
      <w:rPr>
        <w:rFonts w:ascii="Arial" w:eastAsia="Arial" w:hAnsi="Arial" w:hint="default"/>
        <w:sz w:val="24"/>
        <w:szCs w:val="24"/>
      </w:rPr>
    </w:lvl>
    <w:lvl w:ilvl="1" w:tplc="FB744084">
      <w:start w:val="1"/>
      <w:numFmt w:val="bullet"/>
      <w:lvlText w:val="•"/>
      <w:lvlJc w:val="left"/>
      <w:rPr>
        <w:rFonts w:hint="default"/>
      </w:rPr>
    </w:lvl>
    <w:lvl w:ilvl="2" w:tplc="7B6AEC98">
      <w:start w:val="1"/>
      <w:numFmt w:val="bullet"/>
      <w:lvlText w:val="•"/>
      <w:lvlJc w:val="left"/>
      <w:rPr>
        <w:rFonts w:hint="default"/>
      </w:rPr>
    </w:lvl>
    <w:lvl w:ilvl="3" w:tplc="44725F20">
      <w:start w:val="1"/>
      <w:numFmt w:val="bullet"/>
      <w:lvlText w:val="•"/>
      <w:lvlJc w:val="left"/>
      <w:rPr>
        <w:rFonts w:hint="default"/>
      </w:rPr>
    </w:lvl>
    <w:lvl w:ilvl="4" w:tplc="B97C48AA">
      <w:start w:val="1"/>
      <w:numFmt w:val="bullet"/>
      <w:lvlText w:val="•"/>
      <w:lvlJc w:val="left"/>
      <w:rPr>
        <w:rFonts w:hint="default"/>
      </w:rPr>
    </w:lvl>
    <w:lvl w:ilvl="5" w:tplc="34B206E4">
      <w:start w:val="1"/>
      <w:numFmt w:val="bullet"/>
      <w:lvlText w:val="•"/>
      <w:lvlJc w:val="left"/>
      <w:rPr>
        <w:rFonts w:hint="default"/>
      </w:rPr>
    </w:lvl>
    <w:lvl w:ilvl="6" w:tplc="CBC25634">
      <w:start w:val="1"/>
      <w:numFmt w:val="bullet"/>
      <w:lvlText w:val="•"/>
      <w:lvlJc w:val="left"/>
      <w:rPr>
        <w:rFonts w:hint="default"/>
      </w:rPr>
    </w:lvl>
    <w:lvl w:ilvl="7" w:tplc="6E8670DC">
      <w:start w:val="1"/>
      <w:numFmt w:val="bullet"/>
      <w:lvlText w:val="•"/>
      <w:lvlJc w:val="left"/>
      <w:rPr>
        <w:rFonts w:hint="default"/>
      </w:rPr>
    </w:lvl>
    <w:lvl w:ilvl="8" w:tplc="13C85924">
      <w:start w:val="1"/>
      <w:numFmt w:val="bullet"/>
      <w:lvlText w:val="•"/>
      <w:lvlJc w:val="left"/>
      <w:rPr>
        <w:rFonts w:hint="default"/>
      </w:rPr>
    </w:lvl>
  </w:abstractNum>
  <w:abstractNum w:abstractNumId="5">
    <w:nsid w:val="151B6B83"/>
    <w:multiLevelType w:val="hybridMultilevel"/>
    <w:tmpl w:val="4D50841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5CE2886"/>
    <w:multiLevelType w:val="hybridMultilevel"/>
    <w:tmpl w:val="A5CCF7CA"/>
    <w:lvl w:ilvl="0" w:tplc="C8D2DA98">
      <w:start w:val="1"/>
      <w:numFmt w:val="bullet"/>
      <w:lvlText w:val="•"/>
      <w:lvlJc w:val="left"/>
      <w:pPr>
        <w:ind w:hanging="360"/>
      </w:pPr>
      <w:rPr>
        <w:rFonts w:ascii="Arial" w:eastAsia="Arial" w:hAnsi="Arial" w:hint="default"/>
        <w:w w:val="131"/>
        <w:sz w:val="24"/>
        <w:szCs w:val="24"/>
      </w:rPr>
    </w:lvl>
    <w:lvl w:ilvl="1" w:tplc="B72A7084">
      <w:start w:val="1"/>
      <w:numFmt w:val="bullet"/>
      <w:lvlText w:val="•"/>
      <w:lvlJc w:val="left"/>
      <w:rPr>
        <w:rFonts w:hint="default"/>
      </w:rPr>
    </w:lvl>
    <w:lvl w:ilvl="2" w:tplc="0F5A3EC8">
      <w:start w:val="1"/>
      <w:numFmt w:val="bullet"/>
      <w:lvlText w:val="•"/>
      <w:lvlJc w:val="left"/>
      <w:rPr>
        <w:rFonts w:hint="default"/>
      </w:rPr>
    </w:lvl>
    <w:lvl w:ilvl="3" w:tplc="0B74CB5E">
      <w:start w:val="1"/>
      <w:numFmt w:val="bullet"/>
      <w:lvlText w:val="•"/>
      <w:lvlJc w:val="left"/>
      <w:rPr>
        <w:rFonts w:hint="default"/>
      </w:rPr>
    </w:lvl>
    <w:lvl w:ilvl="4" w:tplc="7A1E42B0">
      <w:start w:val="1"/>
      <w:numFmt w:val="bullet"/>
      <w:lvlText w:val="•"/>
      <w:lvlJc w:val="left"/>
      <w:rPr>
        <w:rFonts w:hint="default"/>
      </w:rPr>
    </w:lvl>
    <w:lvl w:ilvl="5" w:tplc="CD12A594">
      <w:start w:val="1"/>
      <w:numFmt w:val="bullet"/>
      <w:lvlText w:val="•"/>
      <w:lvlJc w:val="left"/>
      <w:rPr>
        <w:rFonts w:hint="default"/>
      </w:rPr>
    </w:lvl>
    <w:lvl w:ilvl="6" w:tplc="C6B8F408">
      <w:start w:val="1"/>
      <w:numFmt w:val="bullet"/>
      <w:lvlText w:val="•"/>
      <w:lvlJc w:val="left"/>
      <w:rPr>
        <w:rFonts w:hint="default"/>
      </w:rPr>
    </w:lvl>
    <w:lvl w:ilvl="7" w:tplc="A15CED26">
      <w:start w:val="1"/>
      <w:numFmt w:val="bullet"/>
      <w:lvlText w:val="•"/>
      <w:lvlJc w:val="left"/>
      <w:rPr>
        <w:rFonts w:hint="default"/>
      </w:rPr>
    </w:lvl>
    <w:lvl w:ilvl="8" w:tplc="7638A0BE">
      <w:start w:val="1"/>
      <w:numFmt w:val="bullet"/>
      <w:lvlText w:val="•"/>
      <w:lvlJc w:val="left"/>
      <w:rPr>
        <w:rFonts w:hint="default"/>
      </w:rPr>
    </w:lvl>
  </w:abstractNum>
  <w:abstractNum w:abstractNumId="7">
    <w:nsid w:val="177772CD"/>
    <w:multiLevelType w:val="hybridMultilevel"/>
    <w:tmpl w:val="E3C6CB20"/>
    <w:lvl w:ilvl="0" w:tplc="26B42E18">
      <w:start w:val="1"/>
      <w:numFmt w:val="lowerLetter"/>
      <w:lvlText w:val="(%1)"/>
      <w:lvlJc w:val="left"/>
      <w:pPr>
        <w:ind w:hanging="720"/>
      </w:pPr>
      <w:rPr>
        <w:rFonts w:ascii="Arial" w:eastAsia="Arial" w:hAnsi="Arial" w:hint="default"/>
        <w:spacing w:val="-1"/>
        <w:sz w:val="24"/>
        <w:szCs w:val="24"/>
      </w:rPr>
    </w:lvl>
    <w:lvl w:ilvl="1" w:tplc="9FDEADF2">
      <w:start w:val="1"/>
      <w:numFmt w:val="bullet"/>
      <w:lvlText w:val="•"/>
      <w:lvlJc w:val="left"/>
      <w:rPr>
        <w:rFonts w:hint="default"/>
      </w:rPr>
    </w:lvl>
    <w:lvl w:ilvl="2" w:tplc="88301E04">
      <w:start w:val="1"/>
      <w:numFmt w:val="bullet"/>
      <w:lvlText w:val="•"/>
      <w:lvlJc w:val="left"/>
      <w:rPr>
        <w:rFonts w:hint="default"/>
      </w:rPr>
    </w:lvl>
    <w:lvl w:ilvl="3" w:tplc="D9DC79CA">
      <w:start w:val="1"/>
      <w:numFmt w:val="bullet"/>
      <w:lvlText w:val="•"/>
      <w:lvlJc w:val="left"/>
      <w:rPr>
        <w:rFonts w:hint="default"/>
      </w:rPr>
    </w:lvl>
    <w:lvl w:ilvl="4" w:tplc="A9522854">
      <w:start w:val="1"/>
      <w:numFmt w:val="bullet"/>
      <w:lvlText w:val="•"/>
      <w:lvlJc w:val="left"/>
      <w:rPr>
        <w:rFonts w:hint="default"/>
      </w:rPr>
    </w:lvl>
    <w:lvl w:ilvl="5" w:tplc="796ED67A">
      <w:start w:val="1"/>
      <w:numFmt w:val="bullet"/>
      <w:lvlText w:val="•"/>
      <w:lvlJc w:val="left"/>
      <w:rPr>
        <w:rFonts w:hint="default"/>
      </w:rPr>
    </w:lvl>
    <w:lvl w:ilvl="6" w:tplc="A84C1470">
      <w:start w:val="1"/>
      <w:numFmt w:val="bullet"/>
      <w:lvlText w:val="•"/>
      <w:lvlJc w:val="left"/>
      <w:rPr>
        <w:rFonts w:hint="default"/>
      </w:rPr>
    </w:lvl>
    <w:lvl w:ilvl="7" w:tplc="8EA82C24">
      <w:start w:val="1"/>
      <w:numFmt w:val="bullet"/>
      <w:lvlText w:val="•"/>
      <w:lvlJc w:val="left"/>
      <w:rPr>
        <w:rFonts w:hint="default"/>
      </w:rPr>
    </w:lvl>
    <w:lvl w:ilvl="8" w:tplc="E00A982C">
      <w:start w:val="1"/>
      <w:numFmt w:val="bullet"/>
      <w:lvlText w:val="•"/>
      <w:lvlJc w:val="left"/>
      <w:rPr>
        <w:rFonts w:hint="default"/>
      </w:rPr>
    </w:lvl>
  </w:abstractNum>
  <w:abstractNum w:abstractNumId="8">
    <w:nsid w:val="18E665CF"/>
    <w:multiLevelType w:val="hybridMultilevel"/>
    <w:tmpl w:val="2462287A"/>
    <w:lvl w:ilvl="0" w:tplc="1AA44532">
      <w:start w:val="1"/>
      <w:numFmt w:val="bullet"/>
      <w:lvlText w:val="•"/>
      <w:lvlJc w:val="left"/>
      <w:pPr>
        <w:ind w:hanging="360"/>
      </w:pPr>
      <w:rPr>
        <w:rFonts w:ascii="Arial" w:eastAsia="Arial" w:hAnsi="Arial" w:hint="default"/>
        <w:w w:val="131"/>
        <w:sz w:val="24"/>
        <w:szCs w:val="24"/>
      </w:rPr>
    </w:lvl>
    <w:lvl w:ilvl="1" w:tplc="F6F6E332">
      <w:start w:val="1"/>
      <w:numFmt w:val="bullet"/>
      <w:lvlText w:val="•"/>
      <w:lvlJc w:val="left"/>
      <w:rPr>
        <w:rFonts w:hint="default"/>
      </w:rPr>
    </w:lvl>
    <w:lvl w:ilvl="2" w:tplc="BAF84406">
      <w:start w:val="1"/>
      <w:numFmt w:val="bullet"/>
      <w:lvlText w:val="•"/>
      <w:lvlJc w:val="left"/>
      <w:rPr>
        <w:rFonts w:hint="default"/>
      </w:rPr>
    </w:lvl>
    <w:lvl w:ilvl="3" w:tplc="E868603A">
      <w:start w:val="1"/>
      <w:numFmt w:val="bullet"/>
      <w:lvlText w:val="•"/>
      <w:lvlJc w:val="left"/>
      <w:rPr>
        <w:rFonts w:hint="default"/>
      </w:rPr>
    </w:lvl>
    <w:lvl w:ilvl="4" w:tplc="F8CA1F28">
      <w:start w:val="1"/>
      <w:numFmt w:val="bullet"/>
      <w:lvlText w:val="•"/>
      <w:lvlJc w:val="left"/>
      <w:rPr>
        <w:rFonts w:hint="default"/>
      </w:rPr>
    </w:lvl>
    <w:lvl w:ilvl="5" w:tplc="BE8EFA72">
      <w:start w:val="1"/>
      <w:numFmt w:val="bullet"/>
      <w:lvlText w:val="•"/>
      <w:lvlJc w:val="left"/>
      <w:rPr>
        <w:rFonts w:hint="default"/>
      </w:rPr>
    </w:lvl>
    <w:lvl w:ilvl="6" w:tplc="8586EBD0">
      <w:start w:val="1"/>
      <w:numFmt w:val="bullet"/>
      <w:lvlText w:val="•"/>
      <w:lvlJc w:val="left"/>
      <w:rPr>
        <w:rFonts w:hint="default"/>
      </w:rPr>
    </w:lvl>
    <w:lvl w:ilvl="7" w:tplc="2B14F0FA">
      <w:start w:val="1"/>
      <w:numFmt w:val="bullet"/>
      <w:lvlText w:val="•"/>
      <w:lvlJc w:val="left"/>
      <w:rPr>
        <w:rFonts w:hint="default"/>
      </w:rPr>
    </w:lvl>
    <w:lvl w:ilvl="8" w:tplc="2E66435C">
      <w:start w:val="1"/>
      <w:numFmt w:val="bullet"/>
      <w:lvlText w:val="•"/>
      <w:lvlJc w:val="left"/>
      <w:rPr>
        <w:rFonts w:hint="default"/>
      </w:rPr>
    </w:lvl>
  </w:abstractNum>
  <w:abstractNum w:abstractNumId="9">
    <w:nsid w:val="19C601FC"/>
    <w:multiLevelType w:val="hybridMultilevel"/>
    <w:tmpl w:val="9F46A6B0"/>
    <w:lvl w:ilvl="0" w:tplc="513E40F0">
      <w:start w:val="1"/>
      <w:numFmt w:val="bullet"/>
      <w:lvlText w:val="•"/>
      <w:lvlJc w:val="left"/>
      <w:pPr>
        <w:ind w:hanging="360"/>
      </w:pPr>
      <w:rPr>
        <w:rFonts w:ascii="Arial" w:eastAsia="Arial" w:hAnsi="Arial" w:hint="default"/>
        <w:w w:val="131"/>
        <w:sz w:val="24"/>
        <w:szCs w:val="24"/>
      </w:rPr>
    </w:lvl>
    <w:lvl w:ilvl="1" w:tplc="8C10AA46">
      <w:start w:val="1"/>
      <w:numFmt w:val="bullet"/>
      <w:lvlText w:val="•"/>
      <w:lvlJc w:val="left"/>
      <w:rPr>
        <w:rFonts w:hint="default"/>
      </w:rPr>
    </w:lvl>
    <w:lvl w:ilvl="2" w:tplc="CE786EFA">
      <w:start w:val="1"/>
      <w:numFmt w:val="bullet"/>
      <w:lvlText w:val="•"/>
      <w:lvlJc w:val="left"/>
      <w:rPr>
        <w:rFonts w:hint="default"/>
      </w:rPr>
    </w:lvl>
    <w:lvl w:ilvl="3" w:tplc="D7600298">
      <w:start w:val="1"/>
      <w:numFmt w:val="bullet"/>
      <w:lvlText w:val="•"/>
      <w:lvlJc w:val="left"/>
      <w:rPr>
        <w:rFonts w:hint="default"/>
      </w:rPr>
    </w:lvl>
    <w:lvl w:ilvl="4" w:tplc="D4FC5DEA">
      <w:start w:val="1"/>
      <w:numFmt w:val="bullet"/>
      <w:lvlText w:val="•"/>
      <w:lvlJc w:val="left"/>
      <w:rPr>
        <w:rFonts w:hint="default"/>
      </w:rPr>
    </w:lvl>
    <w:lvl w:ilvl="5" w:tplc="77240FC2">
      <w:start w:val="1"/>
      <w:numFmt w:val="bullet"/>
      <w:lvlText w:val="•"/>
      <w:lvlJc w:val="left"/>
      <w:rPr>
        <w:rFonts w:hint="default"/>
      </w:rPr>
    </w:lvl>
    <w:lvl w:ilvl="6" w:tplc="098C9E1C">
      <w:start w:val="1"/>
      <w:numFmt w:val="bullet"/>
      <w:lvlText w:val="•"/>
      <w:lvlJc w:val="left"/>
      <w:rPr>
        <w:rFonts w:hint="default"/>
      </w:rPr>
    </w:lvl>
    <w:lvl w:ilvl="7" w:tplc="269A5080">
      <w:start w:val="1"/>
      <w:numFmt w:val="bullet"/>
      <w:lvlText w:val="•"/>
      <w:lvlJc w:val="left"/>
      <w:rPr>
        <w:rFonts w:hint="default"/>
      </w:rPr>
    </w:lvl>
    <w:lvl w:ilvl="8" w:tplc="B6F2D78C">
      <w:start w:val="1"/>
      <w:numFmt w:val="bullet"/>
      <w:lvlText w:val="•"/>
      <w:lvlJc w:val="left"/>
      <w:rPr>
        <w:rFonts w:hint="default"/>
      </w:rPr>
    </w:lvl>
  </w:abstractNum>
  <w:abstractNum w:abstractNumId="10">
    <w:nsid w:val="1D4D5403"/>
    <w:multiLevelType w:val="hybridMultilevel"/>
    <w:tmpl w:val="609A5FDA"/>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nsid w:val="1E9E41BF"/>
    <w:multiLevelType w:val="hybridMultilevel"/>
    <w:tmpl w:val="1F5C4F3A"/>
    <w:lvl w:ilvl="0" w:tplc="C602DCDC">
      <w:start w:val="1"/>
      <w:numFmt w:val="bullet"/>
      <w:lvlText w:val="•"/>
      <w:lvlJc w:val="left"/>
      <w:pPr>
        <w:ind w:hanging="360"/>
      </w:pPr>
      <w:rPr>
        <w:rFonts w:ascii="Arial" w:eastAsia="Arial" w:hAnsi="Arial" w:hint="default"/>
        <w:w w:val="131"/>
        <w:sz w:val="24"/>
        <w:szCs w:val="24"/>
      </w:rPr>
    </w:lvl>
    <w:lvl w:ilvl="1" w:tplc="8CEE0692">
      <w:start w:val="1"/>
      <w:numFmt w:val="bullet"/>
      <w:lvlText w:val="o"/>
      <w:lvlJc w:val="left"/>
      <w:pPr>
        <w:ind w:hanging="360"/>
      </w:pPr>
      <w:rPr>
        <w:rFonts w:ascii="Courier New" w:eastAsia="Courier New" w:hAnsi="Courier New" w:hint="default"/>
        <w:sz w:val="24"/>
        <w:szCs w:val="24"/>
      </w:rPr>
    </w:lvl>
    <w:lvl w:ilvl="2" w:tplc="75D015A0">
      <w:start w:val="1"/>
      <w:numFmt w:val="bullet"/>
      <w:lvlText w:val="•"/>
      <w:lvlJc w:val="left"/>
      <w:rPr>
        <w:rFonts w:hint="default"/>
      </w:rPr>
    </w:lvl>
    <w:lvl w:ilvl="3" w:tplc="026060C2">
      <w:start w:val="1"/>
      <w:numFmt w:val="bullet"/>
      <w:lvlText w:val="•"/>
      <w:lvlJc w:val="left"/>
      <w:rPr>
        <w:rFonts w:hint="default"/>
      </w:rPr>
    </w:lvl>
    <w:lvl w:ilvl="4" w:tplc="5404A850">
      <w:start w:val="1"/>
      <w:numFmt w:val="bullet"/>
      <w:lvlText w:val="•"/>
      <w:lvlJc w:val="left"/>
      <w:rPr>
        <w:rFonts w:hint="default"/>
      </w:rPr>
    </w:lvl>
    <w:lvl w:ilvl="5" w:tplc="ABB6E3BC">
      <w:start w:val="1"/>
      <w:numFmt w:val="bullet"/>
      <w:lvlText w:val="•"/>
      <w:lvlJc w:val="left"/>
      <w:rPr>
        <w:rFonts w:hint="default"/>
      </w:rPr>
    </w:lvl>
    <w:lvl w:ilvl="6" w:tplc="41663F6E">
      <w:start w:val="1"/>
      <w:numFmt w:val="bullet"/>
      <w:lvlText w:val="•"/>
      <w:lvlJc w:val="left"/>
      <w:rPr>
        <w:rFonts w:hint="default"/>
      </w:rPr>
    </w:lvl>
    <w:lvl w:ilvl="7" w:tplc="B170C6F6">
      <w:start w:val="1"/>
      <w:numFmt w:val="bullet"/>
      <w:lvlText w:val="•"/>
      <w:lvlJc w:val="left"/>
      <w:rPr>
        <w:rFonts w:hint="default"/>
      </w:rPr>
    </w:lvl>
    <w:lvl w:ilvl="8" w:tplc="59D82972">
      <w:start w:val="1"/>
      <w:numFmt w:val="bullet"/>
      <w:lvlText w:val="•"/>
      <w:lvlJc w:val="left"/>
      <w:rPr>
        <w:rFonts w:hint="default"/>
      </w:rPr>
    </w:lvl>
  </w:abstractNum>
  <w:abstractNum w:abstractNumId="12">
    <w:nsid w:val="1F6174E7"/>
    <w:multiLevelType w:val="hybridMultilevel"/>
    <w:tmpl w:val="30E64190"/>
    <w:lvl w:ilvl="0" w:tplc="A6AED202">
      <w:start w:val="1"/>
      <w:numFmt w:val="bullet"/>
      <w:lvlText w:val="•"/>
      <w:lvlJc w:val="left"/>
      <w:pPr>
        <w:ind w:hanging="360"/>
      </w:pPr>
      <w:rPr>
        <w:rFonts w:ascii="Arial" w:eastAsia="Arial" w:hAnsi="Arial" w:hint="default"/>
        <w:w w:val="131"/>
        <w:sz w:val="24"/>
        <w:szCs w:val="24"/>
      </w:rPr>
    </w:lvl>
    <w:lvl w:ilvl="1" w:tplc="1DF22092">
      <w:start w:val="1"/>
      <w:numFmt w:val="bullet"/>
      <w:lvlText w:val="•"/>
      <w:lvlJc w:val="left"/>
      <w:rPr>
        <w:rFonts w:hint="default"/>
      </w:rPr>
    </w:lvl>
    <w:lvl w:ilvl="2" w:tplc="E260FBD8">
      <w:start w:val="1"/>
      <w:numFmt w:val="bullet"/>
      <w:lvlText w:val="•"/>
      <w:lvlJc w:val="left"/>
      <w:rPr>
        <w:rFonts w:hint="default"/>
      </w:rPr>
    </w:lvl>
    <w:lvl w:ilvl="3" w:tplc="45426B52">
      <w:start w:val="1"/>
      <w:numFmt w:val="bullet"/>
      <w:lvlText w:val="•"/>
      <w:lvlJc w:val="left"/>
      <w:rPr>
        <w:rFonts w:hint="default"/>
      </w:rPr>
    </w:lvl>
    <w:lvl w:ilvl="4" w:tplc="906C0CB8">
      <w:start w:val="1"/>
      <w:numFmt w:val="bullet"/>
      <w:lvlText w:val="•"/>
      <w:lvlJc w:val="left"/>
      <w:rPr>
        <w:rFonts w:hint="default"/>
      </w:rPr>
    </w:lvl>
    <w:lvl w:ilvl="5" w:tplc="6EBA5434">
      <w:start w:val="1"/>
      <w:numFmt w:val="bullet"/>
      <w:lvlText w:val="•"/>
      <w:lvlJc w:val="left"/>
      <w:rPr>
        <w:rFonts w:hint="default"/>
      </w:rPr>
    </w:lvl>
    <w:lvl w:ilvl="6" w:tplc="AFAC0398">
      <w:start w:val="1"/>
      <w:numFmt w:val="bullet"/>
      <w:lvlText w:val="•"/>
      <w:lvlJc w:val="left"/>
      <w:rPr>
        <w:rFonts w:hint="default"/>
      </w:rPr>
    </w:lvl>
    <w:lvl w:ilvl="7" w:tplc="3BE2DCD4">
      <w:start w:val="1"/>
      <w:numFmt w:val="bullet"/>
      <w:lvlText w:val="•"/>
      <w:lvlJc w:val="left"/>
      <w:rPr>
        <w:rFonts w:hint="default"/>
      </w:rPr>
    </w:lvl>
    <w:lvl w:ilvl="8" w:tplc="5C98B190">
      <w:start w:val="1"/>
      <w:numFmt w:val="bullet"/>
      <w:lvlText w:val="•"/>
      <w:lvlJc w:val="left"/>
      <w:rPr>
        <w:rFonts w:hint="default"/>
      </w:rPr>
    </w:lvl>
  </w:abstractNum>
  <w:abstractNum w:abstractNumId="13">
    <w:nsid w:val="2EF64F29"/>
    <w:multiLevelType w:val="hybridMultilevel"/>
    <w:tmpl w:val="48149F70"/>
    <w:lvl w:ilvl="0" w:tplc="1D4407CA">
      <w:start w:val="1"/>
      <w:numFmt w:val="bullet"/>
      <w:lvlText w:val="•"/>
      <w:lvlJc w:val="left"/>
      <w:pPr>
        <w:ind w:hanging="360"/>
      </w:pPr>
      <w:rPr>
        <w:rFonts w:ascii="Arial" w:eastAsia="Arial" w:hAnsi="Arial" w:hint="default"/>
        <w:w w:val="131"/>
        <w:sz w:val="24"/>
        <w:szCs w:val="24"/>
      </w:rPr>
    </w:lvl>
    <w:lvl w:ilvl="1" w:tplc="2E4EF588">
      <w:start w:val="1"/>
      <w:numFmt w:val="bullet"/>
      <w:lvlText w:val="•"/>
      <w:lvlJc w:val="left"/>
      <w:rPr>
        <w:rFonts w:hint="default"/>
      </w:rPr>
    </w:lvl>
    <w:lvl w:ilvl="2" w:tplc="EBC6B344">
      <w:start w:val="1"/>
      <w:numFmt w:val="bullet"/>
      <w:lvlText w:val="•"/>
      <w:lvlJc w:val="left"/>
      <w:rPr>
        <w:rFonts w:hint="default"/>
      </w:rPr>
    </w:lvl>
    <w:lvl w:ilvl="3" w:tplc="BB54FE06">
      <w:start w:val="1"/>
      <w:numFmt w:val="bullet"/>
      <w:lvlText w:val="•"/>
      <w:lvlJc w:val="left"/>
      <w:rPr>
        <w:rFonts w:hint="default"/>
      </w:rPr>
    </w:lvl>
    <w:lvl w:ilvl="4" w:tplc="B42A537E">
      <w:start w:val="1"/>
      <w:numFmt w:val="bullet"/>
      <w:lvlText w:val="•"/>
      <w:lvlJc w:val="left"/>
      <w:rPr>
        <w:rFonts w:hint="default"/>
      </w:rPr>
    </w:lvl>
    <w:lvl w:ilvl="5" w:tplc="76C61FE0">
      <w:start w:val="1"/>
      <w:numFmt w:val="bullet"/>
      <w:lvlText w:val="•"/>
      <w:lvlJc w:val="left"/>
      <w:rPr>
        <w:rFonts w:hint="default"/>
      </w:rPr>
    </w:lvl>
    <w:lvl w:ilvl="6" w:tplc="4A8E9260">
      <w:start w:val="1"/>
      <w:numFmt w:val="bullet"/>
      <w:lvlText w:val="•"/>
      <w:lvlJc w:val="left"/>
      <w:rPr>
        <w:rFonts w:hint="default"/>
      </w:rPr>
    </w:lvl>
    <w:lvl w:ilvl="7" w:tplc="14D21C24">
      <w:start w:val="1"/>
      <w:numFmt w:val="bullet"/>
      <w:lvlText w:val="•"/>
      <w:lvlJc w:val="left"/>
      <w:rPr>
        <w:rFonts w:hint="default"/>
      </w:rPr>
    </w:lvl>
    <w:lvl w:ilvl="8" w:tplc="07FE192C">
      <w:start w:val="1"/>
      <w:numFmt w:val="bullet"/>
      <w:lvlText w:val="•"/>
      <w:lvlJc w:val="left"/>
      <w:rPr>
        <w:rFonts w:hint="default"/>
      </w:rPr>
    </w:lvl>
  </w:abstractNum>
  <w:abstractNum w:abstractNumId="14">
    <w:nsid w:val="30027C40"/>
    <w:multiLevelType w:val="hybridMultilevel"/>
    <w:tmpl w:val="D68AECBE"/>
    <w:lvl w:ilvl="0" w:tplc="FD343772">
      <w:start w:val="1"/>
      <w:numFmt w:val="bullet"/>
      <w:lvlText w:val="•"/>
      <w:lvlJc w:val="left"/>
      <w:pPr>
        <w:ind w:hanging="360"/>
      </w:pPr>
      <w:rPr>
        <w:rFonts w:ascii="Arial" w:eastAsia="Arial" w:hAnsi="Arial" w:hint="default"/>
        <w:w w:val="131"/>
        <w:sz w:val="24"/>
        <w:szCs w:val="24"/>
      </w:rPr>
    </w:lvl>
    <w:lvl w:ilvl="1" w:tplc="A35CAA20">
      <w:start w:val="1"/>
      <w:numFmt w:val="bullet"/>
      <w:lvlText w:val="•"/>
      <w:lvlJc w:val="left"/>
      <w:rPr>
        <w:rFonts w:hint="default"/>
      </w:rPr>
    </w:lvl>
    <w:lvl w:ilvl="2" w:tplc="263AD92C">
      <w:start w:val="1"/>
      <w:numFmt w:val="bullet"/>
      <w:lvlText w:val="•"/>
      <w:lvlJc w:val="left"/>
      <w:rPr>
        <w:rFonts w:hint="default"/>
      </w:rPr>
    </w:lvl>
    <w:lvl w:ilvl="3" w:tplc="FF726368">
      <w:start w:val="1"/>
      <w:numFmt w:val="bullet"/>
      <w:lvlText w:val="•"/>
      <w:lvlJc w:val="left"/>
      <w:rPr>
        <w:rFonts w:hint="default"/>
      </w:rPr>
    </w:lvl>
    <w:lvl w:ilvl="4" w:tplc="FDB6FAA4">
      <w:start w:val="1"/>
      <w:numFmt w:val="bullet"/>
      <w:lvlText w:val="•"/>
      <w:lvlJc w:val="left"/>
      <w:rPr>
        <w:rFonts w:hint="default"/>
      </w:rPr>
    </w:lvl>
    <w:lvl w:ilvl="5" w:tplc="E8E8BE40">
      <w:start w:val="1"/>
      <w:numFmt w:val="bullet"/>
      <w:lvlText w:val="•"/>
      <w:lvlJc w:val="left"/>
      <w:rPr>
        <w:rFonts w:hint="default"/>
      </w:rPr>
    </w:lvl>
    <w:lvl w:ilvl="6" w:tplc="3BE8BE2C">
      <w:start w:val="1"/>
      <w:numFmt w:val="bullet"/>
      <w:lvlText w:val="•"/>
      <w:lvlJc w:val="left"/>
      <w:rPr>
        <w:rFonts w:hint="default"/>
      </w:rPr>
    </w:lvl>
    <w:lvl w:ilvl="7" w:tplc="57469FCE">
      <w:start w:val="1"/>
      <w:numFmt w:val="bullet"/>
      <w:lvlText w:val="•"/>
      <w:lvlJc w:val="left"/>
      <w:rPr>
        <w:rFonts w:hint="default"/>
      </w:rPr>
    </w:lvl>
    <w:lvl w:ilvl="8" w:tplc="544E9D22">
      <w:start w:val="1"/>
      <w:numFmt w:val="bullet"/>
      <w:lvlText w:val="•"/>
      <w:lvlJc w:val="left"/>
      <w:rPr>
        <w:rFonts w:hint="default"/>
      </w:rPr>
    </w:lvl>
  </w:abstractNum>
  <w:abstractNum w:abstractNumId="15">
    <w:nsid w:val="34F00C7B"/>
    <w:multiLevelType w:val="hybridMultilevel"/>
    <w:tmpl w:val="E50697BC"/>
    <w:lvl w:ilvl="0" w:tplc="B6C67E68">
      <w:start w:val="1"/>
      <w:numFmt w:val="bullet"/>
      <w:lvlText w:val="•"/>
      <w:lvlJc w:val="left"/>
      <w:pPr>
        <w:ind w:hanging="360"/>
      </w:pPr>
      <w:rPr>
        <w:rFonts w:ascii="Arial" w:eastAsia="Arial" w:hAnsi="Arial" w:hint="default"/>
        <w:w w:val="131"/>
        <w:sz w:val="24"/>
        <w:szCs w:val="24"/>
      </w:rPr>
    </w:lvl>
    <w:lvl w:ilvl="1" w:tplc="C818DBEE">
      <w:start w:val="1"/>
      <w:numFmt w:val="bullet"/>
      <w:lvlText w:val="•"/>
      <w:lvlJc w:val="left"/>
      <w:rPr>
        <w:rFonts w:hint="default"/>
      </w:rPr>
    </w:lvl>
    <w:lvl w:ilvl="2" w:tplc="DB7A920C">
      <w:start w:val="1"/>
      <w:numFmt w:val="bullet"/>
      <w:lvlText w:val="•"/>
      <w:lvlJc w:val="left"/>
      <w:rPr>
        <w:rFonts w:hint="default"/>
      </w:rPr>
    </w:lvl>
    <w:lvl w:ilvl="3" w:tplc="55D4FFE0">
      <w:start w:val="1"/>
      <w:numFmt w:val="bullet"/>
      <w:lvlText w:val="•"/>
      <w:lvlJc w:val="left"/>
      <w:rPr>
        <w:rFonts w:hint="default"/>
      </w:rPr>
    </w:lvl>
    <w:lvl w:ilvl="4" w:tplc="DC80B3BC">
      <w:start w:val="1"/>
      <w:numFmt w:val="bullet"/>
      <w:lvlText w:val="•"/>
      <w:lvlJc w:val="left"/>
      <w:rPr>
        <w:rFonts w:hint="default"/>
      </w:rPr>
    </w:lvl>
    <w:lvl w:ilvl="5" w:tplc="A18276EC">
      <w:start w:val="1"/>
      <w:numFmt w:val="bullet"/>
      <w:lvlText w:val="•"/>
      <w:lvlJc w:val="left"/>
      <w:rPr>
        <w:rFonts w:hint="default"/>
      </w:rPr>
    </w:lvl>
    <w:lvl w:ilvl="6" w:tplc="C8A051F8">
      <w:start w:val="1"/>
      <w:numFmt w:val="bullet"/>
      <w:lvlText w:val="•"/>
      <w:lvlJc w:val="left"/>
      <w:rPr>
        <w:rFonts w:hint="default"/>
      </w:rPr>
    </w:lvl>
    <w:lvl w:ilvl="7" w:tplc="09F8D9CA">
      <w:start w:val="1"/>
      <w:numFmt w:val="bullet"/>
      <w:lvlText w:val="•"/>
      <w:lvlJc w:val="left"/>
      <w:rPr>
        <w:rFonts w:hint="default"/>
      </w:rPr>
    </w:lvl>
    <w:lvl w:ilvl="8" w:tplc="CFFCB088">
      <w:start w:val="1"/>
      <w:numFmt w:val="bullet"/>
      <w:lvlText w:val="•"/>
      <w:lvlJc w:val="left"/>
      <w:rPr>
        <w:rFonts w:hint="default"/>
      </w:rPr>
    </w:lvl>
  </w:abstractNum>
  <w:abstractNum w:abstractNumId="16">
    <w:nsid w:val="37654C33"/>
    <w:multiLevelType w:val="hybridMultilevel"/>
    <w:tmpl w:val="23D4E0F2"/>
    <w:lvl w:ilvl="0" w:tplc="5D8C19A6">
      <w:start w:val="1"/>
      <w:numFmt w:val="bullet"/>
      <w:lvlText w:val="•"/>
      <w:lvlJc w:val="left"/>
      <w:pPr>
        <w:ind w:hanging="360"/>
      </w:pPr>
      <w:rPr>
        <w:rFonts w:ascii="Arial" w:eastAsia="Arial" w:hAnsi="Arial" w:hint="default"/>
        <w:w w:val="131"/>
        <w:sz w:val="24"/>
        <w:szCs w:val="24"/>
      </w:rPr>
    </w:lvl>
    <w:lvl w:ilvl="1" w:tplc="55121950">
      <w:start w:val="1"/>
      <w:numFmt w:val="bullet"/>
      <w:lvlText w:val="•"/>
      <w:lvlJc w:val="left"/>
      <w:rPr>
        <w:rFonts w:hint="default"/>
      </w:rPr>
    </w:lvl>
    <w:lvl w:ilvl="2" w:tplc="7ED2E252">
      <w:start w:val="1"/>
      <w:numFmt w:val="bullet"/>
      <w:lvlText w:val="•"/>
      <w:lvlJc w:val="left"/>
      <w:rPr>
        <w:rFonts w:hint="default"/>
      </w:rPr>
    </w:lvl>
    <w:lvl w:ilvl="3" w:tplc="094268DC">
      <w:start w:val="1"/>
      <w:numFmt w:val="bullet"/>
      <w:lvlText w:val="•"/>
      <w:lvlJc w:val="left"/>
      <w:rPr>
        <w:rFonts w:hint="default"/>
      </w:rPr>
    </w:lvl>
    <w:lvl w:ilvl="4" w:tplc="18F028E6">
      <w:start w:val="1"/>
      <w:numFmt w:val="bullet"/>
      <w:lvlText w:val="•"/>
      <w:lvlJc w:val="left"/>
      <w:rPr>
        <w:rFonts w:hint="default"/>
      </w:rPr>
    </w:lvl>
    <w:lvl w:ilvl="5" w:tplc="485C81F0">
      <w:start w:val="1"/>
      <w:numFmt w:val="bullet"/>
      <w:lvlText w:val="•"/>
      <w:lvlJc w:val="left"/>
      <w:rPr>
        <w:rFonts w:hint="default"/>
      </w:rPr>
    </w:lvl>
    <w:lvl w:ilvl="6" w:tplc="50F40332">
      <w:start w:val="1"/>
      <w:numFmt w:val="bullet"/>
      <w:lvlText w:val="•"/>
      <w:lvlJc w:val="left"/>
      <w:rPr>
        <w:rFonts w:hint="default"/>
      </w:rPr>
    </w:lvl>
    <w:lvl w:ilvl="7" w:tplc="D3B6AA30">
      <w:start w:val="1"/>
      <w:numFmt w:val="bullet"/>
      <w:lvlText w:val="•"/>
      <w:lvlJc w:val="left"/>
      <w:rPr>
        <w:rFonts w:hint="default"/>
      </w:rPr>
    </w:lvl>
    <w:lvl w:ilvl="8" w:tplc="A82AFD80">
      <w:start w:val="1"/>
      <w:numFmt w:val="bullet"/>
      <w:lvlText w:val="•"/>
      <w:lvlJc w:val="left"/>
      <w:rPr>
        <w:rFonts w:hint="default"/>
      </w:rPr>
    </w:lvl>
  </w:abstractNum>
  <w:abstractNum w:abstractNumId="17">
    <w:nsid w:val="398E4EFA"/>
    <w:multiLevelType w:val="hybridMultilevel"/>
    <w:tmpl w:val="119856E0"/>
    <w:lvl w:ilvl="0" w:tplc="4E0CA57A">
      <w:start w:val="1"/>
      <w:numFmt w:val="decimal"/>
      <w:lvlText w:val="%1."/>
      <w:lvlJc w:val="left"/>
      <w:pPr>
        <w:ind w:hanging="720"/>
      </w:pPr>
      <w:rPr>
        <w:rFonts w:ascii="Arial" w:eastAsia="Arial" w:hAnsi="Arial" w:hint="default"/>
        <w:b/>
        <w:bCs/>
        <w:sz w:val="24"/>
        <w:szCs w:val="24"/>
      </w:rPr>
    </w:lvl>
    <w:lvl w:ilvl="1" w:tplc="EAEA9D56">
      <w:start w:val="1"/>
      <w:numFmt w:val="bullet"/>
      <w:lvlText w:val="•"/>
      <w:lvlJc w:val="left"/>
      <w:pPr>
        <w:ind w:hanging="360"/>
      </w:pPr>
      <w:rPr>
        <w:rFonts w:ascii="Arial" w:eastAsia="Arial" w:hAnsi="Arial" w:hint="default"/>
        <w:w w:val="130"/>
        <w:sz w:val="20"/>
        <w:szCs w:val="20"/>
      </w:rPr>
    </w:lvl>
    <w:lvl w:ilvl="2" w:tplc="7B583DBE">
      <w:start w:val="1"/>
      <w:numFmt w:val="bullet"/>
      <w:lvlText w:val="•"/>
      <w:lvlJc w:val="left"/>
      <w:rPr>
        <w:rFonts w:hint="default"/>
      </w:rPr>
    </w:lvl>
    <w:lvl w:ilvl="3" w:tplc="310E5252">
      <w:start w:val="1"/>
      <w:numFmt w:val="bullet"/>
      <w:lvlText w:val="•"/>
      <w:lvlJc w:val="left"/>
      <w:rPr>
        <w:rFonts w:hint="default"/>
      </w:rPr>
    </w:lvl>
    <w:lvl w:ilvl="4" w:tplc="A15E43E0">
      <w:start w:val="1"/>
      <w:numFmt w:val="bullet"/>
      <w:lvlText w:val="•"/>
      <w:lvlJc w:val="left"/>
      <w:rPr>
        <w:rFonts w:hint="default"/>
      </w:rPr>
    </w:lvl>
    <w:lvl w:ilvl="5" w:tplc="3BFEF6AE">
      <w:start w:val="1"/>
      <w:numFmt w:val="bullet"/>
      <w:lvlText w:val="•"/>
      <w:lvlJc w:val="left"/>
      <w:rPr>
        <w:rFonts w:hint="default"/>
      </w:rPr>
    </w:lvl>
    <w:lvl w:ilvl="6" w:tplc="20CA27C8">
      <w:start w:val="1"/>
      <w:numFmt w:val="bullet"/>
      <w:lvlText w:val="•"/>
      <w:lvlJc w:val="left"/>
      <w:rPr>
        <w:rFonts w:hint="default"/>
      </w:rPr>
    </w:lvl>
    <w:lvl w:ilvl="7" w:tplc="99D62616">
      <w:start w:val="1"/>
      <w:numFmt w:val="bullet"/>
      <w:lvlText w:val="•"/>
      <w:lvlJc w:val="left"/>
      <w:rPr>
        <w:rFonts w:hint="default"/>
      </w:rPr>
    </w:lvl>
    <w:lvl w:ilvl="8" w:tplc="74A8C720">
      <w:start w:val="1"/>
      <w:numFmt w:val="bullet"/>
      <w:lvlText w:val="•"/>
      <w:lvlJc w:val="left"/>
      <w:rPr>
        <w:rFonts w:hint="default"/>
      </w:rPr>
    </w:lvl>
  </w:abstractNum>
  <w:abstractNum w:abstractNumId="18">
    <w:nsid w:val="3EF75935"/>
    <w:multiLevelType w:val="hybridMultilevel"/>
    <w:tmpl w:val="32846288"/>
    <w:lvl w:ilvl="0" w:tplc="7F682B24">
      <w:start w:val="1"/>
      <w:numFmt w:val="bullet"/>
      <w:lvlText w:val="•"/>
      <w:lvlJc w:val="left"/>
      <w:pPr>
        <w:ind w:hanging="360"/>
      </w:pPr>
      <w:rPr>
        <w:rFonts w:ascii="Arial" w:eastAsia="Arial" w:hAnsi="Arial" w:hint="default"/>
        <w:w w:val="131"/>
        <w:sz w:val="24"/>
        <w:szCs w:val="24"/>
      </w:rPr>
    </w:lvl>
    <w:lvl w:ilvl="1" w:tplc="85965344">
      <w:start w:val="1"/>
      <w:numFmt w:val="bullet"/>
      <w:lvlText w:val="•"/>
      <w:lvlJc w:val="left"/>
      <w:rPr>
        <w:rFonts w:hint="default"/>
      </w:rPr>
    </w:lvl>
    <w:lvl w:ilvl="2" w:tplc="CE88C206">
      <w:start w:val="1"/>
      <w:numFmt w:val="bullet"/>
      <w:lvlText w:val="•"/>
      <w:lvlJc w:val="left"/>
      <w:rPr>
        <w:rFonts w:hint="default"/>
      </w:rPr>
    </w:lvl>
    <w:lvl w:ilvl="3" w:tplc="E056E32C">
      <w:start w:val="1"/>
      <w:numFmt w:val="bullet"/>
      <w:lvlText w:val="•"/>
      <w:lvlJc w:val="left"/>
      <w:rPr>
        <w:rFonts w:hint="default"/>
      </w:rPr>
    </w:lvl>
    <w:lvl w:ilvl="4" w:tplc="B04CCC5A">
      <w:start w:val="1"/>
      <w:numFmt w:val="bullet"/>
      <w:lvlText w:val="•"/>
      <w:lvlJc w:val="left"/>
      <w:rPr>
        <w:rFonts w:hint="default"/>
      </w:rPr>
    </w:lvl>
    <w:lvl w:ilvl="5" w:tplc="575E24AA">
      <w:start w:val="1"/>
      <w:numFmt w:val="bullet"/>
      <w:lvlText w:val="•"/>
      <w:lvlJc w:val="left"/>
      <w:rPr>
        <w:rFonts w:hint="default"/>
      </w:rPr>
    </w:lvl>
    <w:lvl w:ilvl="6" w:tplc="FC06F8D8">
      <w:start w:val="1"/>
      <w:numFmt w:val="bullet"/>
      <w:lvlText w:val="•"/>
      <w:lvlJc w:val="left"/>
      <w:rPr>
        <w:rFonts w:hint="default"/>
      </w:rPr>
    </w:lvl>
    <w:lvl w:ilvl="7" w:tplc="F8E8A69A">
      <w:start w:val="1"/>
      <w:numFmt w:val="bullet"/>
      <w:lvlText w:val="•"/>
      <w:lvlJc w:val="left"/>
      <w:rPr>
        <w:rFonts w:hint="default"/>
      </w:rPr>
    </w:lvl>
    <w:lvl w:ilvl="8" w:tplc="112652B8">
      <w:start w:val="1"/>
      <w:numFmt w:val="bullet"/>
      <w:lvlText w:val="•"/>
      <w:lvlJc w:val="left"/>
      <w:rPr>
        <w:rFonts w:hint="default"/>
      </w:rPr>
    </w:lvl>
  </w:abstractNum>
  <w:abstractNum w:abstractNumId="19">
    <w:nsid w:val="41824B68"/>
    <w:multiLevelType w:val="hybridMultilevel"/>
    <w:tmpl w:val="245C5D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6C00413"/>
    <w:multiLevelType w:val="hybridMultilevel"/>
    <w:tmpl w:val="18700222"/>
    <w:lvl w:ilvl="0" w:tplc="0A8E67EE">
      <w:start w:val="1"/>
      <w:numFmt w:val="lowerLetter"/>
      <w:lvlText w:val="(%1)"/>
      <w:lvlJc w:val="left"/>
      <w:pPr>
        <w:ind w:hanging="653"/>
        <w:jc w:val="right"/>
      </w:pPr>
      <w:rPr>
        <w:rFonts w:ascii="Arial" w:eastAsia="Arial" w:hAnsi="Arial" w:hint="default"/>
        <w:spacing w:val="-1"/>
        <w:sz w:val="24"/>
        <w:szCs w:val="24"/>
      </w:rPr>
    </w:lvl>
    <w:lvl w:ilvl="1" w:tplc="80E08536">
      <w:start w:val="1"/>
      <w:numFmt w:val="bullet"/>
      <w:lvlText w:val="•"/>
      <w:lvlJc w:val="left"/>
      <w:rPr>
        <w:rFonts w:hint="default"/>
      </w:rPr>
    </w:lvl>
    <w:lvl w:ilvl="2" w:tplc="E4E4A0D6">
      <w:start w:val="1"/>
      <w:numFmt w:val="bullet"/>
      <w:lvlText w:val="•"/>
      <w:lvlJc w:val="left"/>
      <w:rPr>
        <w:rFonts w:hint="default"/>
      </w:rPr>
    </w:lvl>
    <w:lvl w:ilvl="3" w:tplc="AE743412">
      <w:start w:val="1"/>
      <w:numFmt w:val="bullet"/>
      <w:lvlText w:val="•"/>
      <w:lvlJc w:val="left"/>
      <w:rPr>
        <w:rFonts w:hint="default"/>
      </w:rPr>
    </w:lvl>
    <w:lvl w:ilvl="4" w:tplc="1B620898">
      <w:start w:val="1"/>
      <w:numFmt w:val="bullet"/>
      <w:lvlText w:val="•"/>
      <w:lvlJc w:val="left"/>
      <w:rPr>
        <w:rFonts w:hint="default"/>
      </w:rPr>
    </w:lvl>
    <w:lvl w:ilvl="5" w:tplc="0574A4DE">
      <w:start w:val="1"/>
      <w:numFmt w:val="bullet"/>
      <w:lvlText w:val="•"/>
      <w:lvlJc w:val="left"/>
      <w:rPr>
        <w:rFonts w:hint="default"/>
      </w:rPr>
    </w:lvl>
    <w:lvl w:ilvl="6" w:tplc="5BAE7BAE">
      <w:start w:val="1"/>
      <w:numFmt w:val="bullet"/>
      <w:lvlText w:val="•"/>
      <w:lvlJc w:val="left"/>
      <w:rPr>
        <w:rFonts w:hint="default"/>
      </w:rPr>
    </w:lvl>
    <w:lvl w:ilvl="7" w:tplc="2110DB4A">
      <w:start w:val="1"/>
      <w:numFmt w:val="bullet"/>
      <w:lvlText w:val="•"/>
      <w:lvlJc w:val="left"/>
      <w:rPr>
        <w:rFonts w:hint="default"/>
      </w:rPr>
    </w:lvl>
    <w:lvl w:ilvl="8" w:tplc="5EA2F8B0">
      <w:start w:val="1"/>
      <w:numFmt w:val="bullet"/>
      <w:lvlText w:val="•"/>
      <w:lvlJc w:val="left"/>
      <w:rPr>
        <w:rFonts w:hint="default"/>
      </w:rPr>
    </w:lvl>
  </w:abstractNum>
  <w:abstractNum w:abstractNumId="21">
    <w:nsid w:val="49DA61D8"/>
    <w:multiLevelType w:val="hybridMultilevel"/>
    <w:tmpl w:val="B33EFCA8"/>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2">
    <w:nsid w:val="4B9271EF"/>
    <w:multiLevelType w:val="hybridMultilevel"/>
    <w:tmpl w:val="EF64843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C715749"/>
    <w:multiLevelType w:val="hybridMultilevel"/>
    <w:tmpl w:val="BB8C6C74"/>
    <w:lvl w:ilvl="0" w:tplc="2AA45E14">
      <w:start w:val="1"/>
      <w:numFmt w:val="bullet"/>
      <w:lvlText w:val="•"/>
      <w:lvlJc w:val="left"/>
      <w:pPr>
        <w:ind w:hanging="360"/>
      </w:pPr>
      <w:rPr>
        <w:rFonts w:ascii="Arial" w:eastAsia="Arial" w:hAnsi="Arial" w:hint="default"/>
        <w:w w:val="131"/>
        <w:sz w:val="24"/>
        <w:szCs w:val="24"/>
      </w:rPr>
    </w:lvl>
    <w:lvl w:ilvl="1" w:tplc="932434DA">
      <w:start w:val="1"/>
      <w:numFmt w:val="bullet"/>
      <w:lvlText w:val="•"/>
      <w:lvlJc w:val="left"/>
      <w:rPr>
        <w:rFonts w:hint="default"/>
      </w:rPr>
    </w:lvl>
    <w:lvl w:ilvl="2" w:tplc="19183426">
      <w:start w:val="1"/>
      <w:numFmt w:val="bullet"/>
      <w:lvlText w:val="•"/>
      <w:lvlJc w:val="left"/>
      <w:rPr>
        <w:rFonts w:hint="default"/>
      </w:rPr>
    </w:lvl>
    <w:lvl w:ilvl="3" w:tplc="1AEC5494">
      <w:start w:val="1"/>
      <w:numFmt w:val="bullet"/>
      <w:lvlText w:val="•"/>
      <w:lvlJc w:val="left"/>
      <w:rPr>
        <w:rFonts w:hint="default"/>
      </w:rPr>
    </w:lvl>
    <w:lvl w:ilvl="4" w:tplc="3E280694">
      <w:start w:val="1"/>
      <w:numFmt w:val="bullet"/>
      <w:lvlText w:val="•"/>
      <w:lvlJc w:val="left"/>
      <w:rPr>
        <w:rFonts w:hint="default"/>
      </w:rPr>
    </w:lvl>
    <w:lvl w:ilvl="5" w:tplc="94A2B5F2">
      <w:start w:val="1"/>
      <w:numFmt w:val="bullet"/>
      <w:lvlText w:val="•"/>
      <w:lvlJc w:val="left"/>
      <w:rPr>
        <w:rFonts w:hint="default"/>
      </w:rPr>
    </w:lvl>
    <w:lvl w:ilvl="6" w:tplc="AC723A4A">
      <w:start w:val="1"/>
      <w:numFmt w:val="bullet"/>
      <w:lvlText w:val="•"/>
      <w:lvlJc w:val="left"/>
      <w:rPr>
        <w:rFonts w:hint="default"/>
      </w:rPr>
    </w:lvl>
    <w:lvl w:ilvl="7" w:tplc="B980E4BC">
      <w:start w:val="1"/>
      <w:numFmt w:val="bullet"/>
      <w:lvlText w:val="•"/>
      <w:lvlJc w:val="left"/>
      <w:rPr>
        <w:rFonts w:hint="default"/>
      </w:rPr>
    </w:lvl>
    <w:lvl w:ilvl="8" w:tplc="8FD6AA60">
      <w:start w:val="1"/>
      <w:numFmt w:val="bullet"/>
      <w:lvlText w:val="•"/>
      <w:lvlJc w:val="left"/>
      <w:rPr>
        <w:rFonts w:hint="default"/>
      </w:rPr>
    </w:lvl>
  </w:abstractNum>
  <w:abstractNum w:abstractNumId="24">
    <w:nsid w:val="5BAF2078"/>
    <w:multiLevelType w:val="hybridMultilevel"/>
    <w:tmpl w:val="A04042C4"/>
    <w:lvl w:ilvl="0" w:tplc="ADE8291E">
      <w:start w:val="1"/>
      <w:numFmt w:val="decimal"/>
      <w:lvlText w:val="%1."/>
      <w:lvlJc w:val="left"/>
      <w:pPr>
        <w:ind w:hanging="1440"/>
      </w:pPr>
      <w:rPr>
        <w:rFonts w:ascii="Arial" w:eastAsia="Arial" w:hAnsi="Arial" w:hint="default"/>
        <w:sz w:val="24"/>
        <w:szCs w:val="24"/>
      </w:rPr>
    </w:lvl>
    <w:lvl w:ilvl="1" w:tplc="ED4412E0">
      <w:start w:val="1"/>
      <w:numFmt w:val="bullet"/>
      <w:lvlText w:val="•"/>
      <w:lvlJc w:val="left"/>
      <w:rPr>
        <w:rFonts w:hint="default"/>
      </w:rPr>
    </w:lvl>
    <w:lvl w:ilvl="2" w:tplc="79786806">
      <w:start w:val="1"/>
      <w:numFmt w:val="bullet"/>
      <w:lvlText w:val="•"/>
      <w:lvlJc w:val="left"/>
      <w:rPr>
        <w:rFonts w:hint="default"/>
      </w:rPr>
    </w:lvl>
    <w:lvl w:ilvl="3" w:tplc="45F412A6">
      <w:start w:val="1"/>
      <w:numFmt w:val="bullet"/>
      <w:lvlText w:val="•"/>
      <w:lvlJc w:val="left"/>
      <w:rPr>
        <w:rFonts w:hint="default"/>
      </w:rPr>
    </w:lvl>
    <w:lvl w:ilvl="4" w:tplc="AB78AF60">
      <w:start w:val="1"/>
      <w:numFmt w:val="bullet"/>
      <w:lvlText w:val="•"/>
      <w:lvlJc w:val="left"/>
      <w:rPr>
        <w:rFonts w:hint="default"/>
      </w:rPr>
    </w:lvl>
    <w:lvl w:ilvl="5" w:tplc="9D0440B6">
      <w:start w:val="1"/>
      <w:numFmt w:val="bullet"/>
      <w:lvlText w:val="•"/>
      <w:lvlJc w:val="left"/>
      <w:rPr>
        <w:rFonts w:hint="default"/>
      </w:rPr>
    </w:lvl>
    <w:lvl w:ilvl="6" w:tplc="E9C0ED1A">
      <w:start w:val="1"/>
      <w:numFmt w:val="bullet"/>
      <w:lvlText w:val="•"/>
      <w:lvlJc w:val="left"/>
      <w:rPr>
        <w:rFonts w:hint="default"/>
      </w:rPr>
    </w:lvl>
    <w:lvl w:ilvl="7" w:tplc="9808DD50">
      <w:start w:val="1"/>
      <w:numFmt w:val="bullet"/>
      <w:lvlText w:val="•"/>
      <w:lvlJc w:val="left"/>
      <w:rPr>
        <w:rFonts w:hint="default"/>
      </w:rPr>
    </w:lvl>
    <w:lvl w:ilvl="8" w:tplc="EA069F70">
      <w:start w:val="1"/>
      <w:numFmt w:val="bullet"/>
      <w:lvlText w:val="•"/>
      <w:lvlJc w:val="left"/>
      <w:rPr>
        <w:rFonts w:hint="default"/>
      </w:rPr>
    </w:lvl>
  </w:abstractNum>
  <w:abstractNum w:abstractNumId="25">
    <w:nsid w:val="5BED505B"/>
    <w:multiLevelType w:val="hybridMultilevel"/>
    <w:tmpl w:val="F89614D8"/>
    <w:lvl w:ilvl="0" w:tplc="2B6AF3D8">
      <w:start w:val="1"/>
      <w:numFmt w:val="bullet"/>
      <w:lvlText w:val="•"/>
      <w:lvlJc w:val="left"/>
      <w:pPr>
        <w:ind w:hanging="360"/>
      </w:pPr>
      <w:rPr>
        <w:rFonts w:ascii="Arial" w:eastAsia="Arial" w:hAnsi="Arial" w:hint="default"/>
        <w:w w:val="131"/>
        <w:sz w:val="24"/>
        <w:szCs w:val="24"/>
      </w:rPr>
    </w:lvl>
    <w:lvl w:ilvl="1" w:tplc="2C64414A">
      <w:start w:val="1"/>
      <w:numFmt w:val="bullet"/>
      <w:lvlText w:val="•"/>
      <w:lvlJc w:val="left"/>
      <w:rPr>
        <w:rFonts w:hint="default"/>
      </w:rPr>
    </w:lvl>
    <w:lvl w:ilvl="2" w:tplc="24DA0764">
      <w:start w:val="1"/>
      <w:numFmt w:val="bullet"/>
      <w:lvlText w:val="•"/>
      <w:lvlJc w:val="left"/>
      <w:rPr>
        <w:rFonts w:hint="default"/>
      </w:rPr>
    </w:lvl>
    <w:lvl w:ilvl="3" w:tplc="06C64E00">
      <w:start w:val="1"/>
      <w:numFmt w:val="bullet"/>
      <w:lvlText w:val="•"/>
      <w:lvlJc w:val="left"/>
      <w:rPr>
        <w:rFonts w:hint="default"/>
      </w:rPr>
    </w:lvl>
    <w:lvl w:ilvl="4" w:tplc="AE9ADF50">
      <w:start w:val="1"/>
      <w:numFmt w:val="bullet"/>
      <w:lvlText w:val="•"/>
      <w:lvlJc w:val="left"/>
      <w:rPr>
        <w:rFonts w:hint="default"/>
      </w:rPr>
    </w:lvl>
    <w:lvl w:ilvl="5" w:tplc="8A820762">
      <w:start w:val="1"/>
      <w:numFmt w:val="bullet"/>
      <w:lvlText w:val="•"/>
      <w:lvlJc w:val="left"/>
      <w:rPr>
        <w:rFonts w:hint="default"/>
      </w:rPr>
    </w:lvl>
    <w:lvl w:ilvl="6" w:tplc="BB38E01C">
      <w:start w:val="1"/>
      <w:numFmt w:val="bullet"/>
      <w:lvlText w:val="•"/>
      <w:lvlJc w:val="left"/>
      <w:rPr>
        <w:rFonts w:hint="default"/>
      </w:rPr>
    </w:lvl>
    <w:lvl w:ilvl="7" w:tplc="27C86CCE">
      <w:start w:val="1"/>
      <w:numFmt w:val="bullet"/>
      <w:lvlText w:val="•"/>
      <w:lvlJc w:val="left"/>
      <w:rPr>
        <w:rFonts w:hint="default"/>
      </w:rPr>
    </w:lvl>
    <w:lvl w:ilvl="8" w:tplc="8BBE92E0">
      <w:start w:val="1"/>
      <w:numFmt w:val="bullet"/>
      <w:lvlText w:val="•"/>
      <w:lvlJc w:val="left"/>
      <w:rPr>
        <w:rFonts w:hint="default"/>
      </w:rPr>
    </w:lvl>
  </w:abstractNum>
  <w:abstractNum w:abstractNumId="26">
    <w:nsid w:val="5EC16A0A"/>
    <w:multiLevelType w:val="hybridMultilevel"/>
    <w:tmpl w:val="BF50DE2A"/>
    <w:lvl w:ilvl="0" w:tplc="A81E0562">
      <w:start w:val="1"/>
      <w:numFmt w:val="bullet"/>
      <w:lvlText w:val="•"/>
      <w:lvlJc w:val="left"/>
      <w:pPr>
        <w:ind w:hanging="360"/>
      </w:pPr>
      <w:rPr>
        <w:rFonts w:ascii="Arial" w:eastAsia="Arial" w:hAnsi="Arial" w:hint="default"/>
        <w:w w:val="131"/>
        <w:sz w:val="24"/>
        <w:szCs w:val="24"/>
      </w:rPr>
    </w:lvl>
    <w:lvl w:ilvl="1" w:tplc="DBA00702">
      <w:start w:val="1"/>
      <w:numFmt w:val="bullet"/>
      <w:lvlText w:val="•"/>
      <w:lvlJc w:val="left"/>
      <w:rPr>
        <w:rFonts w:hint="default"/>
      </w:rPr>
    </w:lvl>
    <w:lvl w:ilvl="2" w:tplc="13249FF6">
      <w:start w:val="1"/>
      <w:numFmt w:val="bullet"/>
      <w:lvlText w:val="•"/>
      <w:lvlJc w:val="left"/>
      <w:rPr>
        <w:rFonts w:hint="default"/>
      </w:rPr>
    </w:lvl>
    <w:lvl w:ilvl="3" w:tplc="113CA79A">
      <w:start w:val="1"/>
      <w:numFmt w:val="bullet"/>
      <w:lvlText w:val="•"/>
      <w:lvlJc w:val="left"/>
      <w:rPr>
        <w:rFonts w:hint="default"/>
      </w:rPr>
    </w:lvl>
    <w:lvl w:ilvl="4" w:tplc="5B80BA98">
      <w:start w:val="1"/>
      <w:numFmt w:val="bullet"/>
      <w:lvlText w:val="•"/>
      <w:lvlJc w:val="left"/>
      <w:rPr>
        <w:rFonts w:hint="default"/>
      </w:rPr>
    </w:lvl>
    <w:lvl w:ilvl="5" w:tplc="F40E8148">
      <w:start w:val="1"/>
      <w:numFmt w:val="bullet"/>
      <w:lvlText w:val="•"/>
      <w:lvlJc w:val="left"/>
      <w:rPr>
        <w:rFonts w:hint="default"/>
      </w:rPr>
    </w:lvl>
    <w:lvl w:ilvl="6" w:tplc="37FE6B1A">
      <w:start w:val="1"/>
      <w:numFmt w:val="bullet"/>
      <w:lvlText w:val="•"/>
      <w:lvlJc w:val="left"/>
      <w:rPr>
        <w:rFonts w:hint="default"/>
      </w:rPr>
    </w:lvl>
    <w:lvl w:ilvl="7" w:tplc="1E306BD8">
      <w:start w:val="1"/>
      <w:numFmt w:val="bullet"/>
      <w:lvlText w:val="•"/>
      <w:lvlJc w:val="left"/>
      <w:rPr>
        <w:rFonts w:hint="default"/>
      </w:rPr>
    </w:lvl>
    <w:lvl w:ilvl="8" w:tplc="CEE49A7A">
      <w:start w:val="1"/>
      <w:numFmt w:val="bullet"/>
      <w:lvlText w:val="•"/>
      <w:lvlJc w:val="left"/>
      <w:rPr>
        <w:rFonts w:hint="default"/>
      </w:rPr>
    </w:lvl>
  </w:abstractNum>
  <w:abstractNum w:abstractNumId="27">
    <w:nsid w:val="5F4B089A"/>
    <w:multiLevelType w:val="hybridMultilevel"/>
    <w:tmpl w:val="7428BD90"/>
    <w:lvl w:ilvl="0" w:tplc="F42AA862">
      <w:start w:val="1"/>
      <w:numFmt w:val="bullet"/>
      <w:lvlText w:val="•"/>
      <w:lvlJc w:val="left"/>
      <w:pPr>
        <w:ind w:hanging="360"/>
      </w:pPr>
      <w:rPr>
        <w:rFonts w:ascii="Arial" w:eastAsia="Arial" w:hAnsi="Arial" w:hint="default"/>
        <w:w w:val="131"/>
        <w:sz w:val="24"/>
        <w:szCs w:val="24"/>
      </w:rPr>
    </w:lvl>
    <w:lvl w:ilvl="1" w:tplc="61BCFC3C">
      <w:start w:val="1"/>
      <w:numFmt w:val="bullet"/>
      <w:lvlText w:val="•"/>
      <w:lvlJc w:val="left"/>
      <w:rPr>
        <w:rFonts w:hint="default"/>
      </w:rPr>
    </w:lvl>
    <w:lvl w:ilvl="2" w:tplc="0FD6DC62">
      <w:start w:val="1"/>
      <w:numFmt w:val="bullet"/>
      <w:lvlText w:val="•"/>
      <w:lvlJc w:val="left"/>
      <w:rPr>
        <w:rFonts w:hint="default"/>
      </w:rPr>
    </w:lvl>
    <w:lvl w:ilvl="3" w:tplc="2FA42D5E">
      <w:start w:val="1"/>
      <w:numFmt w:val="bullet"/>
      <w:lvlText w:val="•"/>
      <w:lvlJc w:val="left"/>
      <w:rPr>
        <w:rFonts w:hint="default"/>
      </w:rPr>
    </w:lvl>
    <w:lvl w:ilvl="4" w:tplc="BCA6AFA4">
      <w:start w:val="1"/>
      <w:numFmt w:val="bullet"/>
      <w:lvlText w:val="•"/>
      <w:lvlJc w:val="left"/>
      <w:rPr>
        <w:rFonts w:hint="default"/>
      </w:rPr>
    </w:lvl>
    <w:lvl w:ilvl="5" w:tplc="B478F19C">
      <w:start w:val="1"/>
      <w:numFmt w:val="bullet"/>
      <w:lvlText w:val="•"/>
      <w:lvlJc w:val="left"/>
      <w:rPr>
        <w:rFonts w:hint="default"/>
      </w:rPr>
    </w:lvl>
    <w:lvl w:ilvl="6" w:tplc="B65A4260">
      <w:start w:val="1"/>
      <w:numFmt w:val="bullet"/>
      <w:lvlText w:val="•"/>
      <w:lvlJc w:val="left"/>
      <w:rPr>
        <w:rFonts w:hint="default"/>
      </w:rPr>
    </w:lvl>
    <w:lvl w:ilvl="7" w:tplc="E43C68F0">
      <w:start w:val="1"/>
      <w:numFmt w:val="bullet"/>
      <w:lvlText w:val="•"/>
      <w:lvlJc w:val="left"/>
      <w:rPr>
        <w:rFonts w:hint="default"/>
      </w:rPr>
    </w:lvl>
    <w:lvl w:ilvl="8" w:tplc="404893BE">
      <w:start w:val="1"/>
      <w:numFmt w:val="bullet"/>
      <w:lvlText w:val="•"/>
      <w:lvlJc w:val="left"/>
      <w:rPr>
        <w:rFonts w:hint="default"/>
      </w:rPr>
    </w:lvl>
  </w:abstractNum>
  <w:abstractNum w:abstractNumId="28">
    <w:nsid w:val="62F22E1B"/>
    <w:multiLevelType w:val="hybridMultilevel"/>
    <w:tmpl w:val="1F2AF57C"/>
    <w:lvl w:ilvl="0" w:tplc="58CE513A">
      <w:start w:val="1"/>
      <w:numFmt w:val="bullet"/>
      <w:lvlText w:val="•"/>
      <w:lvlJc w:val="left"/>
      <w:pPr>
        <w:ind w:hanging="360"/>
      </w:pPr>
      <w:rPr>
        <w:rFonts w:ascii="Arial" w:eastAsia="Arial" w:hAnsi="Arial" w:hint="default"/>
        <w:w w:val="131"/>
        <w:sz w:val="24"/>
        <w:szCs w:val="24"/>
      </w:rPr>
    </w:lvl>
    <w:lvl w:ilvl="1" w:tplc="718459E4">
      <w:start w:val="1"/>
      <w:numFmt w:val="bullet"/>
      <w:lvlText w:val="•"/>
      <w:lvlJc w:val="left"/>
      <w:rPr>
        <w:rFonts w:hint="default"/>
      </w:rPr>
    </w:lvl>
    <w:lvl w:ilvl="2" w:tplc="E5F20BFA">
      <w:start w:val="1"/>
      <w:numFmt w:val="bullet"/>
      <w:lvlText w:val="•"/>
      <w:lvlJc w:val="left"/>
      <w:rPr>
        <w:rFonts w:hint="default"/>
      </w:rPr>
    </w:lvl>
    <w:lvl w:ilvl="3" w:tplc="EC5055B6">
      <w:start w:val="1"/>
      <w:numFmt w:val="bullet"/>
      <w:lvlText w:val="•"/>
      <w:lvlJc w:val="left"/>
      <w:rPr>
        <w:rFonts w:hint="default"/>
      </w:rPr>
    </w:lvl>
    <w:lvl w:ilvl="4" w:tplc="8F4828C8">
      <w:start w:val="1"/>
      <w:numFmt w:val="bullet"/>
      <w:lvlText w:val="•"/>
      <w:lvlJc w:val="left"/>
      <w:rPr>
        <w:rFonts w:hint="default"/>
      </w:rPr>
    </w:lvl>
    <w:lvl w:ilvl="5" w:tplc="EED058C4">
      <w:start w:val="1"/>
      <w:numFmt w:val="bullet"/>
      <w:lvlText w:val="•"/>
      <w:lvlJc w:val="left"/>
      <w:rPr>
        <w:rFonts w:hint="default"/>
      </w:rPr>
    </w:lvl>
    <w:lvl w:ilvl="6" w:tplc="D5944E24">
      <w:start w:val="1"/>
      <w:numFmt w:val="bullet"/>
      <w:lvlText w:val="•"/>
      <w:lvlJc w:val="left"/>
      <w:rPr>
        <w:rFonts w:hint="default"/>
      </w:rPr>
    </w:lvl>
    <w:lvl w:ilvl="7" w:tplc="0B6EBF30">
      <w:start w:val="1"/>
      <w:numFmt w:val="bullet"/>
      <w:lvlText w:val="•"/>
      <w:lvlJc w:val="left"/>
      <w:rPr>
        <w:rFonts w:hint="default"/>
      </w:rPr>
    </w:lvl>
    <w:lvl w:ilvl="8" w:tplc="39D62D88">
      <w:start w:val="1"/>
      <w:numFmt w:val="bullet"/>
      <w:lvlText w:val="•"/>
      <w:lvlJc w:val="left"/>
      <w:rPr>
        <w:rFonts w:hint="default"/>
      </w:rPr>
    </w:lvl>
  </w:abstractNum>
  <w:abstractNum w:abstractNumId="29">
    <w:nsid w:val="66616CE6"/>
    <w:multiLevelType w:val="hybridMultilevel"/>
    <w:tmpl w:val="06F64CFE"/>
    <w:lvl w:ilvl="0" w:tplc="14B47E0C">
      <w:start w:val="1"/>
      <w:numFmt w:val="bullet"/>
      <w:lvlText w:val="•"/>
      <w:lvlJc w:val="left"/>
      <w:pPr>
        <w:ind w:hanging="360"/>
      </w:pPr>
      <w:rPr>
        <w:rFonts w:ascii="Arial" w:eastAsia="Arial" w:hAnsi="Arial" w:hint="default"/>
        <w:w w:val="131"/>
        <w:sz w:val="24"/>
        <w:szCs w:val="24"/>
      </w:rPr>
    </w:lvl>
    <w:lvl w:ilvl="1" w:tplc="F97008B8">
      <w:start w:val="1"/>
      <w:numFmt w:val="bullet"/>
      <w:lvlText w:val="•"/>
      <w:lvlJc w:val="left"/>
      <w:rPr>
        <w:rFonts w:hint="default"/>
      </w:rPr>
    </w:lvl>
    <w:lvl w:ilvl="2" w:tplc="F3E8B13C">
      <w:start w:val="1"/>
      <w:numFmt w:val="bullet"/>
      <w:lvlText w:val="•"/>
      <w:lvlJc w:val="left"/>
      <w:rPr>
        <w:rFonts w:hint="default"/>
      </w:rPr>
    </w:lvl>
    <w:lvl w:ilvl="3" w:tplc="D492A3C8">
      <w:start w:val="1"/>
      <w:numFmt w:val="bullet"/>
      <w:lvlText w:val="•"/>
      <w:lvlJc w:val="left"/>
      <w:rPr>
        <w:rFonts w:hint="default"/>
      </w:rPr>
    </w:lvl>
    <w:lvl w:ilvl="4" w:tplc="BC60621E">
      <w:start w:val="1"/>
      <w:numFmt w:val="bullet"/>
      <w:lvlText w:val="•"/>
      <w:lvlJc w:val="left"/>
      <w:rPr>
        <w:rFonts w:hint="default"/>
      </w:rPr>
    </w:lvl>
    <w:lvl w:ilvl="5" w:tplc="7092263E">
      <w:start w:val="1"/>
      <w:numFmt w:val="bullet"/>
      <w:lvlText w:val="•"/>
      <w:lvlJc w:val="left"/>
      <w:rPr>
        <w:rFonts w:hint="default"/>
      </w:rPr>
    </w:lvl>
    <w:lvl w:ilvl="6" w:tplc="6B225812">
      <w:start w:val="1"/>
      <w:numFmt w:val="bullet"/>
      <w:lvlText w:val="•"/>
      <w:lvlJc w:val="left"/>
      <w:rPr>
        <w:rFonts w:hint="default"/>
      </w:rPr>
    </w:lvl>
    <w:lvl w:ilvl="7" w:tplc="19F66D0C">
      <w:start w:val="1"/>
      <w:numFmt w:val="bullet"/>
      <w:lvlText w:val="•"/>
      <w:lvlJc w:val="left"/>
      <w:rPr>
        <w:rFonts w:hint="default"/>
      </w:rPr>
    </w:lvl>
    <w:lvl w:ilvl="8" w:tplc="BD66A99C">
      <w:start w:val="1"/>
      <w:numFmt w:val="bullet"/>
      <w:lvlText w:val="•"/>
      <w:lvlJc w:val="left"/>
      <w:rPr>
        <w:rFonts w:hint="default"/>
      </w:rPr>
    </w:lvl>
  </w:abstractNum>
  <w:abstractNum w:abstractNumId="30">
    <w:nsid w:val="66C85BA2"/>
    <w:multiLevelType w:val="hybridMultilevel"/>
    <w:tmpl w:val="50507A32"/>
    <w:lvl w:ilvl="0" w:tplc="39C0E424">
      <w:start w:val="1"/>
      <w:numFmt w:val="bullet"/>
      <w:lvlText w:val="•"/>
      <w:lvlJc w:val="left"/>
      <w:pPr>
        <w:ind w:hanging="360"/>
      </w:pPr>
      <w:rPr>
        <w:rFonts w:ascii="Arial" w:eastAsia="Arial" w:hAnsi="Arial" w:hint="default"/>
        <w:w w:val="131"/>
        <w:sz w:val="24"/>
        <w:szCs w:val="24"/>
      </w:rPr>
    </w:lvl>
    <w:lvl w:ilvl="1" w:tplc="DA928F28">
      <w:start w:val="1"/>
      <w:numFmt w:val="bullet"/>
      <w:lvlText w:val="•"/>
      <w:lvlJc w:val="left"/>
      <w:rPr>
        <w:rFonts w:hint="default"/>
      </w:rPr>
    </w:lvl>
    <w:lvl w:ilvl="2" w:tplc="9B325AFC">
      <w:start w:val="1"/>
      <w:numFmt w:val="bullet"/>
      <w:lvlText w:val="•"/>
      <w:lvlJc w:val="left"/>
      <w:rPr>
        <w:rFonts w:hint="default"/>
      </w:rPr>
    </w:lvl>
    <w:lvl w:ilvl="3" w:tplc="E2A20BFC">
      <w:start w:val="1"/>
      <w:numFmt w:val="bullet"/>
      <w:lvlText w:val="•"/>
      <w:lvlJc w:val="left"/>
      <w:rPr>
        <w:rFonts w:hint="default"/>
      </w:rPr>
    </w:lvl>
    <w:lvl w:ilvl="4" w:tplc="0616C53E">
      <w:start w:val="1"/>
      <w:numFmt w:val="bullet"/>
      <w:lvlText w:val="•"/>
      <w:lvlJc w:val="left"/>
      <w:rPr>
        <w:rFonts w:hint="default"/>
      </w:rPr>
    </w:lvl>
    <w:lvl w:ilvl="5" w:tplc="58983838">
      <w:start w:val="1"/>
      <w:numFmt w:val="bullet"/>
      <w:lvlText w:val="•"/>
      <w:lvlJc w:val="left"/>
      <w:rPr>
        <w:rFonts w:hint="default"/>
      </w:rPr>
    </w:lvl>
    <w:lvl w:ilvl="6" w:tplc="194A8B7E">
      <w:start w:val="1"/>
      <w:numFmt w:val="bullet"/>
      <w:lvlText w:val="•"/>
      <w:lvlJc w:val="left"/>
      <w:rPr>
        <w:rFonts w:hint="default"/>
      </w:rPr>
    </w:lvl>
    <w:lvl w:ilvl="7" w:tplc="EF80B6A4">
      <w:start w:val="1"/>
      <w:numFmt w:val="bullet"/>
      <w:lvlText w:val="•"/>
      <w:lvlJc w:val="left"/>
      <w:rPr>
        <w:rFonts w:hint="default"/>
      </w:rPr>
    </w:lvl>
    <w:lvl w:ilvl="8" w:tplc="2FBA555C">
      <w:start w:val="1"/>
      <w:numFmt w:val="bullet"/>
      <w:lvlText w:val="•"/>
      <w:lvlJc w:val="left"/>
      <w:rPr>
        <w:rFonts w:hint="default"/>
      </w:rPr>
    </w:lvl>
  </w:abstractNum>
  <w:abstractNum w:abstractNumId="31">
    <w:nsid w:val="7A2B0F9A"/>
    <w:multiLevelType w:val="hybridMultilevel"/>
    <w:tmpl w:val="855A4320"/>
    <w:lvl w:ilvl="0" w:tplc="7FF45802">
      <w:start w:val="1"/>
      <w:numFmt w:val="bullet"/>
      <w:lvlText w:val="•"/>
      <w:lvlJc w:val="left"/>
      <w:pPr>
        <w:ind w:hanging="360"/>
      </w:pPr>
      <w:rPr>
        <w:rFonts w:ascii="Arial" w:eastAsia="Arial" w:hAnsi="Arial" w:hint="default"/>
        <w:w w:val="131"/>
        <w:sz w:val="24"/>
        <w:szCs w:val="24"/>
      </w:rPr>
    </w:lvl>
    <w:lvl w:ilvl="1" w:tplc="AD727CD4">
      <w:start w:val="1"/>
      <w:numFmt w:val="bullet"/>
      <w:lvlText w:val="•"/>
      <w:lvlJc w:val="left"/>
      <w:rPr>
        <w:rFonts w:hint="default"/>
      </w:rPr>
    </w:lvl>
    <w:lvl w:ilvl="2" w:tplc="72B61958">
      <w:start w:val="1"/>
      <w:numFmt w:val="bullet"/>
      <w:lvlText w:val="•"/>
      <w:lvlJc w:val="left"/>
      <w:rPr>
        <w:rFonts w:hint="default"/>
      </w:rPr>
    </w:lvl>
    <w:lvl w:ilvl="3" w:tplc="927C2586">
      <w:start w:val="1"/>
      <w:numFmt w:val="bullet"/>
      <w:lvlText w:val="•"/>
      <w:lvlJc w:val="left"/>
      <w:rPr>
        <w:rFonts w:hint="default"/>
      </w:rPr>
    </w:lvl>
    <w:lvl w:ilvl="4" w:tplc="0840DA00">
      <w:start w:val="1"/>
      <w:numFmt w:val="bullet"/>
      <w:lvlText w:val="•"/>
      <w:lvlJc w:val="left"/>
      <w:rPr>
        <w:rFonts w:hint="default"/>
      </w:rPr>
    </w:lvl>
    <w:lvl w:ilvl="5" w:tplc="DAE080A2">
      <w:start w:val="1"/>
      <w:numFmt w:val="bullet"/>
      <w:lvlText w:val="•"/>
      <w:lvlJc w:val="left"/>
      <w:rPr>
        <w:rFonts w:hint="default"/>
      </w:rPr>
    </w:lvl>
    <w:lvl w:ilvl="6" w:tplc="6E24F894">
      <w:start w:val="1"/>
      <w:numFmt w:val="bullet"/>
      <w:lvlText w:val="•"/>
      <w:lvlJc w:val="left"/>
      <w:rPr>
        <w:rFonts w:hint="default"/>
      </w:rPr>
    </w:lvl>
    <w:lvl w:ilvl="7" w:tplc="F40C187C">
      <w:start w:val="1"/>
      <w:numFmt w:val="bullet"/>
      <w:lvlText w:val="•"/>
      <w:lvlJc w:val="left"/>
      <w:rPr>
        <w:rFonts w:hint="default"/>
      </w:rPr>
    </w:lvl>
    <w:lvl w:ilvl="8" w:tplc="9B18649C">
      <w:start w:val="1"/>
      <w:numFmt w:val="bullet"/>
      <w:lvlText w:val="•"/>
      <w:lvlJc w:val="left"/>
      <w:rPr>
        <w:rFonts w:hint="default"/>
      </w:rPr>
    </w:lvl>
  </w:abstractNum>
  <w:abstractNum w:abstractNumId="32">
    <w:nsid w:val="7BBA6373"/>
    <w:multiLevelType w:val="hybridMultilevel"/>
    <w:tmpl w:val="F8F46EF0"/>
    <w:lvl w:ilvl="0" w:tplc="72886230">
      <w:start w:val="1"/>
      <w:numFmt w:val="bullet"/>
      <w:lvlText w:val="•"/>
      <w:lvlJc w:val="left"/>
      <w:pPr>
        <w:ind w:hanging="360"/>
      </w:pPr>
      <w:rPr>
        <w:rFonts w:ascii="Arial" w:eastAsia="Arial" w:hAnsi="Arial" w:hint="default"/>
        <w:w w:val="130"/>
        <w:sz w:val="20"/>
        <w:szCs w:val="20"/>
      </w:rPr>
    </w:lvl>
    <w:lvl w:ilvl="1" w:tplc="34BED7B2">
      <w:start w:val="1"/>
      <w:numFmt w:val="bullet"/>
      <w:lvlText w:val="•"/>
      <w:lvlJc w:val="left"/>
      <w:rPr>
        <w:rFonts w:hint="default"/>
      </w:rPr>
    </w:lvl>
    <w:lvl w:ilvl="2" w:tplc="7C1CC77C">
      <w:start w:val="1"/>
      <w:numFmt w:val="bullet"/>
      <w:lvlText w:val="•"/>
      <w:lvlJc w:val="left"/>
      <w:rPr>
        <w:rFonts w:hint="default"/>
      </w:rPr>
    </w:lvl>
    <w:lvl w:ilvl="3" w:tplc="8500B0C2">
      <w:start w:val="1"/>
      <w:numFmt w:val="bullet"/>
      <w:lvlText w:val="•"/>
      <w:lvlJc w:val="left"/>
      <w:rPr>
        <w:rFonts w:hint="default"/>
      </w:rPr>
    </w:lvl>
    <w:lvl w:ilvl="4" w:tplc="910ACB82">
      <w:start w:val="1"/>
      <w:numFmt w:val="bullet"/>
      <w:lvlText w:val="•"/>
      <w:lvlJc w:val="left"/>
      <w:rPr>
        <w:rFonts w:hint="default"/>
      </w:rPr>
    </w:lvl>
    <w:lvl w:ilvl="5" w:tplc="CB4CDE70">
      <w:start w:val="1"/>
      <w:numFmt w:val="bullet"/>
      <w:lvlText w:val="•"/>
      <w:lvlJc w:val="left"/>
      <w:rPr>
        <w:rFonts w:hint="default"/>
      </w:rPr>
    </w:lvl>
    <w:lvl w:ilvl="6" w:tplc="03ECECE0">
      <w:start w:val="1"/>
      <w:numFmt w:val="bullet"/>
      <w:lvlText w:val="•"/>
      <w:lvlJc w:val="left"/>
      <w:rPr>
        <w:rFonts w:hint="default"/>
      </w:rPr>
    </w:lvl>
    <w:lvl w:ilvl="7" w:tplc="FAF052AE">
      <w:start w:val="1"/>
      <w:numFmt w:val="bullet"/>
      <w:lvlText w:val="•"/>
      <w:lvlJc w:val="left"/>
      <w:rPr>
        <w:rFonts w:hint="default"/>
      </w:rPr>
    </w:lvl>
    <w:lvl w:ilvl="8" w:tplc="73CAAF52">
      <w:start w:val="1"/>
      <w:numFmt w:val="bullet"/>
      <w:lvlText w:val="•"/>
      <w:lvlJc w:val="left"/>
      <w:rPr>
        <w:rFonts w:hint="default"/>
      </w:rPr>
    </w:lvl>
  </w:abstractNum>
  <w:abstractNum w:abstractNumId="33">
    <w:nsid w:val="7CE834AB"/>
    <w:multiLevelType w:val="hybridMultilevel"/>
    <w:tmpl w:val="6756D9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7CFE7D95"/>
    <w:multiLevelType w:val="multilevel"/>
    <w:tmpl w:val="2D9E7F6A"/>
    <w:lvl w:ilvl="0">
      <w:start w:val="1"/>
      <w:numFmt w:val="decimal"/>
      <w:lvlText w:val="%1."/>
      <w:lvlJc w:val="left"/>
      <w:pPr>
        <w:ind w:hanging="720"/>
      </w:pPr>
      <w:rPr>
        <w:rFonts w:ascii="Arial" w:eastAsia="Arial" w:hAnsi="Arial" w:hint="default"/>
        <w:b/>
        <w:bCs/>
        <w:sz w:val="24"/>
        <w:szCs w:val="24"/>
      </w:rPr>
    </w:lvl>
    <w:lvl w:ilvl="1">
      <w:start w:val="1"/>
      <w:numFmt w:val="decimal"/>
      <w:lvlText w:val="%1.%2"/>
      <w:lvlJc w:val="left"/>
      <w:pPr>
        <w:ind w:hanging="720"/>
      </w:pPr>
      <w:rPr>
        <w:rFonts w:ascii="Arial" w:eastAsia="Arial" w:hAnsi="Arial" w:hint="default"/>
        <w:sz w:val="24"/>
        <w:szCs w:val="24"/>
      </w:rPr>
    </w:lvl>
    <w:lvl w:ilvl="2">
      <w:start w:val="1"/>
      <w:numFmt w:val="lowerLetter"/>
      <w:lvlText w:val="(%3)"/>
      <w:lvlJc w:val="left"/>
      <w:pPr>
        <w:ind w:hanging="653"/>
      </w:pPr>
      <w:rPr>
        <w:rFonts w:ascii="Arial" w:eastAsia="Arial" w:hAnsi="Arial" w:hint="default"/>
        <w:spacing w:val="-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31"/>
  </w:num>
  <w:num w:numId="2">
    <w:abstractNumId w:val="12"/>
  </w:num>
  <w:num w:numId="3">
    <w:abstractNumId w:val="14"/>
  </w:num>
  <w:num w:numId="4">
    <w:abstractNumId w:val="23"/>
  </w:num>
  <w:num w:numId="5">
    <w:abstractNumId w:val="26"/>
  </w:num>
  <w:num w:numId="6">
    <w:abstractNumId w:val="30"/>
  </w:num>
  <w:num w:numId="7">
    <w:abstractNumId w:val="6"/>
  </w:num>
  <w:num w:numId="8">
    <w:abstractNumId w:val="8"/>
  </w:num>
  <w:num w:numId="9">
    <w:abstractNumId w:val="18"/>
  </w:num>
  <w:num w:numId="10">
    <w:abstractNumId w:val="27"/>
  </w:num>
  <w:num w:numId="11">
    <w:abstractNumId w:val="16"/>
  </w:num>
  <w:num w:numId="12">
    <w:abstractNumId w:val="28"/>
  </w:num>
  <w:num w:numId="13">
    <w:abstractNumId w:val="0"/>
  </w:num>
  <w:num w:numId="14">
    <w:abstractNumId w:val="15"/>
  </w:num>
  <w:num w:numId="15">
    <w:abstractNumId w:val="29"/>
  </w:num>
  <w:num w:numId="16">
    <w:abstractNumId w:val="9"/>
  </w:num>
  <w:num w:numId="17">
    <w:abstractNumId w:val="25"/>
  </w:num>
  <w:num w:numId="18">
    <w:abstractNumId w:val="11"/>
  </w:num>
  <w:num w:numId="19">
    <w:abstractNumId w:val="13"/>
  </w:num>
  <w:num w:numId="20">
    <w:abstractNumId w:val="32"/>
  </w:num>
  <w:num w:numId="21">
    <w:abstractNumId w:val="20"/>
  </w:num>
  <w:num w:numId="22">
    <w:abstractNumId w:val="34"/>
  </w:num>
  <w:num w:numId="23">
    <w:abstractNumId w:val="4"/>
  </w:num>
  <w:num w:numId="24">
    <w:abstractNumId w:val="2"/>
  </w:num>
  <w:num w:numId="25">
    <w:abstractNumId w:val="7"/>
  </w:num>
  <w:num w:numId="26">
    <w:abstractNumId w:val="17"/>
  </w:num>
  <w:num w:numId="27">
    <w:abstractNumId w:val="24"/>
  </w:num>
  <w:num w:numId="28">
    <w:abstractNumId w:val="1"/>
  </w:num>
  <w:num w:numId="29">
    <w:abstractNumId w:val="3"/>
  </w:num>
  <w:num w:numId="30">
    <w:abstractNumId w:val="5"/>
  </w:num>
  <w:num w:numId="31">
    <w:abstractNumId w:val="22"/>
  </w:num>
  <w:num w:numId="32">
    <w:abstractNumId w:val="10"/>
  </w:num>
  <w:num w:numId="33">
    <w:abstractNumId w:val="21"/>
  </w:num>
  <w:num w:numId="34">
    <w:abstractNumId w:val="19"/>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Graphics" w:val="X"/>
    <w:docVar w:name="WfID" w:val="01289055"/>
    <w:docVar w:name="WfLargeDoc" w:val="no"/>
    <w:docVar w:name="WfLastSegment" w:val=" 5060 n"/>
    <w:docVar w:name="WfMT" w:val="0"/>
    <w:docVar w:name="WfProtection" w:val="1"/>
    <w:docVar w:name="WfRevTM" w:val="C:\Users\Nicole\Desktop\A - LAROCQUE\GOVERNMENT OF ONTARIO.txt"/>
    <w:docVar w:name="WfStyles" w:val=" 271   no"/>
  </w:docVars>
  <w:rsids>
    <w:rsidRoot w:val="00047FAE"/>
    <w:rsid w:val="00001007"/>
    <w:rsid w:val="00004932"/>
    <w:rsid w:val="00005A1B"/>
    <w:rsid w:val="0002135C"/>
    <w:rsid w:val="00022CC3"/>
    <w:rsid w:val="00023B80"/>
    <w:rsid w:val="000278E7"/>
    <w:rsid w:val="00035B3A"/>
    <w:rsid w:val="00042C2C"/>
    <w:rsid w:val="00042D6F"/>
    <w:rsid w:val="00047FAE"/>
    <w:rsid w:val="00055A12"/>
    <w:rsid w:val="00056045"/>
    <w:rsid w:val="0005739D"/>
    <w:rsid w:val="000623E0"/>
    <w:rsid w:val="00064C4C"/>
    <w:rsid w:val="000761F9"/>
    <w:rsid w:val="00085022"/>
    <w:rsid w:val="0009475D"/>
    <w:rsid w:val="000949B8"/>
    <w:rsid w:val="000A68EF"/>
    <w:rsid w:val="000D28EB"/>
    <w:rsid w:val="000D4F00"/>
    <w:rsid w:val="000D7EB0"/>
    <w:rsid w:val="000E45AC"/>
    <w:rsid w:val="000E7BF6"/>
    <w:rsid w:val="001057A1"/>
    <w:rsid w:val="00112A08"/>
    <w:rsid w:val="0011445B"/>
    <w:rsid w:val="00116B4B"/>
    <w:rsid w:val="00122A39"/>
    <w:rsid w:val="00123984"/>
    <w:rsid w:val="00132B0A"/>
    <w:rsid w:val="00132F27"/>
    <w:rsid w:val="00140D3E"/>
    <w:rsid w:val="00141E5F"/>
    <w:rsid w:val="00143993"/>
    <w:rsid w:val="00152151"/>
    <w:rsid w:val="00157D4B"/>
    <w:rsid w:val="00163934"/>
    <w:rsid w:val="0016630D"/>
    <w:rsid w:val="0018434D"/>
    <w:rsid w:val="001853BA"/>
    <w:rsid w:val="00185467"/>
    <w:rsid w:val="001952F8"/>
    <w:rsid w:val="001A0D5D"/>
    <w:rsid w:val="001B0058"/>
    <w:rsid w:val="001B1300"/>
    <w:rsid w:val="001B5197"/>
    <w:rsid w:val="001B5328"/>
    <w:rsid w:val="001D151A"/>
    <w:rsid w:val="001D4A80"/>
    <w:rsid w:val="001D6DA7"/>
    <w:rsid w:val="001E506F"/>
    <w:rsid w:val="001F014B"/>
    <w:rsid w:val="001F7798"/>
    <w:rsid w:val="00204E06"/>
    <w:rsid w:val="00206E23"/>
    <w:rsid w:val="00217CC6"/>
    <w:rsid w:val="00230C31"/>
    <w:rsid w:val="00234B8A"/>
    <w:rsid w:val="00235E52"/>
    <w:rsid w:val="00236C20"/>
    <w:rsid w:val="0025278A"/>
    <w:rsid w:val="00257720"/>
    <w:rsid w:val="00265597"/>
    <w:rsid w:val="00265922"/>
    <w:rsid w:val="002675D0"/>
    <w:rsid w:val="00281A95"/>
    <w:rsid w:val="00281F43"/>
    <w:rsid w:val="00286616"/>
    <w:rsid w:val="0028671E"/>
    <w:rsid w:val="0029352E"/>
    <w:rsid w:val="00295298"/>
    <w:rsid w:val="002A09D4"/>
    <w:rsid w:val="002C0214"/>
    <w:rsid w:val="002C088B"/>
    <w:rsid w:val="002C0E33"/>
    <w:rsid w:val="002D3085"/>
    <w:rsid w:val="002D6EB7"/>
    <w:rsid w:val="002F3A12"/>
    <w:rsid w:val="00302598"/>
    <w:rsid w:val="00312483"/>
    <w:rsid w:val="00312704"/>
    <w:rsid w:val="0031279D"/>
    <w:rsid w:val="00313174"/>
    <w:rsid w:val="003143DF"/>
    <w:rsid w:val="003149B2"/>
    <w:rsid w:val="003319D0"/>
    <w:rsid w:val="00340D81"/>
    <w:rsid w:val="003571DA"/>
    <w:rsid w:val="003602EA"/>
    <w:rsid w:val="0036242E"/>
    <w:rsid w:val="00363885"/>
    <w:rsid w:val="003658DF"/>
    <w:rsid w:val="00370E6D"/>
    <w:rsid w:val="00371B38"/>
    <w:rsid w:val="00371E77"/>
    <w:rsid w:val="0037417B"/>
    <w:rsid w:val="003748C0"/>
    <w:rsid w:val="0037686D"/>
    <w:rsid w:val="00377A3A"/>
    <w:rsid w:val="003813B8"/>
    <w:rsid w:val="0038140F"/>
    <w:rsid w:val="00386E8E"/>
    <w:rsid w:val="00390CE3"/>
    <w:rsid w:val="003921B2"/>
    <w:rsid w:val="00392A03"/>
    <w:rsid w:val="00393010"/>
    <w:rsid w:val="00394F98"/>
    <w:rsid w:val="003953F5"/>
    <w:rsid w:val="003A1F3F"/>
    <w:rsid w:val="003A519D"/>
    <w:rsid w:val="003B0219"/>
    <w:rsid w:val="003B0BE7"/>
    <w:rsid w:val="003C0726"/>
    <w:rsid w:val="003C6A82"/>
    <w:rsid w:val="003D2DDC"/>
    <w:rsid w:val="003D6731"/>
    <w:rsid w:val="003E439C"/>
    <w:rsid w:val="003E7B28"/>
    <w:rsid w:val="003E7B86"/>
    <w:rsid w:val="003F1480"/>
    <w:rsid w:val="003F22F1"/>
    <w:rsid w:val="003F33B8"/>
    <w:rsid w:val="003F6873"/>
    <w:rsid w:val="00401E6E"/>
    <w:rsid w:val="00404E1A"/>
    <w:rsid w:val="00417890"/>
    <w:rsid w:val="00420C35"/>
    <w:rsid w:val="0042348D"/>
    <w:rsid w:val="00432313"/>
    <w:rsid w:val="00432ED7"/>
    <w:rsid w:val="004519A6"/>
    <w:rsid w:val="00456D69"/>
    <w:rsid w:val="00462F42"/>
    <w:rsid w:val="004644EE"/>
    <w:rsid w:val="004652F4"/>
    <w:rsid w:val="0048105B"/>
    <w:rsid w:val="0048121F"/>
    <w:rsid w:val="0048269E"/>
    <w:rsid w:val="004830FF"/>
    <w:rsid w:val="00483CF2"/>
    <w:rsid w:val="00492756"/>
    <w:rsid w:val="004940AC"/>
    <w:rsid w:val="004943B6"/>
    <w:rsid w:val="004951E1"/>
    <w:rsid w:val="004A2EA4"/>
    <w:rsid w:val="004A5026"/>
    <w:rsid w:val="004A5FA7"/>
    <w:rsid w:val="004A669C"/>
    <w:rsid w:val="004C28F2"/>
    <w:rsid w:val="004D3A8C"/>
    <w:rsid w:val="004D3BD5"/>
    <w:rsid w:val="004D4B21"/>
    <w:rsid w:val="004E3FED"/>
    <w:rsid w:val="004F0A24"/>
    <w:rsid w:val="004F177A"/>
    <w:rsid w:val="004F4463"/>
    <w:rsid w:val="004F7AB8"/>
    <w:rsid w:val="0050076B"/>
    <w:rsid w:val="00503332"/>
    <w:rsid w:val="00507DBE"/>
    <w:rsid w:val="00512196"/>
    <w:rsid w:val="005204B0"/>
    <w:rsid w:val="00523213"/>
    <w:rsid w:val="00524584"/>
    <w:rsid w:val="005252BD"/>
    <w:rsid w:val="00533A4B"/>
    <w:rsid w:val="005364C1"/>
    <w:rsid w:val="00542726"/>
    <w:rsid w:val="005548FE"/>
    <w:rsid w:val="0055509C"/>
    <w:rsid w:val="00555FD6"/>
    <w:rsid w:val="00556756"/>
    <w:rsid w:val="00561EE6"/>
    <w:rsid w:val="00581052"/>
    <w:rsid w:val="00584471"/>
    <w:rsid w:val="00584B4D"/>
    <w:rsid w:val="00585C26"/>
    <w:rsid w:val="0058669D"/>
    <w:rsid w:val="00591859"/>
    <w:rsid w:val="005948B7"/>
    <w:rsid w:val="005958A2"/>
    <w:rsid w:val="0059756A"/>
    <w:rsid w:val="005A117B"/>
    <w:rsid w:val="005B1E13"/>
    <w:rsid w:val="005B2755"/>
    <w:rsid w:val="005B6722"/>
    <w:rsid w:val="005C71C5"/>
    <w:rsid w:val="005D0294"/>
    <w:rsid w:val="005D5F04"/>
    <w:rsid w:val="005E1E64"/>
    <w:rsid w:val="005E5FBC"/>
    <w:rsid w:val="005F2FBC"/>
    <w:rsid w:val="005F373B"/>
    <w:rsid w:val="005F4C4B"/>
    <w:rsid w:val="005F743A"/>
    <w:rsid w:val="0060031C"/>
    <w:rsid w:val="00602279"/>
    <w:rsid w:val="00607682"/>
    <w:rsid w:val="00610727"/>
    <w:rsid w:val="0061457E"/>
    <w:rsid w:val="00615AD5"/>
    <w:rsid w:val="00616A5A"/>
    <w:rsid w:val="00627304"/>
    <w:rsid w:val="00636452"/>
    <w:rsid w:val="00637DDA"/>
    <w:rsid w:val="00640CB5"/>
    <w:rsid w:val="00642872"/>
    <w:rsid w:val="0064706D"/>
    <w:rsid w:val="00651B14"/>
    <w:rsid w:val="006526FC"/>
    <w:rsid w:val="00660C79"/>
    <w:rsid w:val="00663B70"/>
    <w:rsid w:val="00665F50"/>
    <w:rsid w:val="006665C8"/>
    <w:rsid w:val="00666E5C"/>
    <w:rsid w:val="00676B97"/>
    <w:rsid w:val="00692EF7"/>
    <w:rsid w:val="006A08BC"/>
    <w:rsid w:val="006A0E18"/>
    <w:rsid w:val="006A5CA5"/>
    <w:rsid w:val="006D279D"/>
    <w:rsid w:val="006D355F"/>
    <w:rsid w:val="006D600B"/>
    <w:rsid w:val="006E1730"/>
    <w:rsid w:val="006E4200"/>
    <w:rsid w:val="006F1873"/>
    <w:rsid w:val="006F18D8"/>
    <w:rsid w:val="006F1F0E"/>
    <w:rsid w:val="006F3D95"/>
    <w:rsid w:val="006F3FBA"/>
    <w:rsid w:val="00702F74"/>
    <w:rsid w:val="00704D6F"/>
    <w:rsid w:val="00705D9A"/>
    <w:rsid w:val="00715F17"/>
    <w:rsid w:val="00722E84"/>
    <w:rsid w:val="007265E0"/>
    <w:rsid w:val="007309FF"/>
    <w:rsid w:val="00733492"/>
    <w:rsid w:val="00733C2E"/>
    <w:rsid w:val="00735007"/>
    <w:rsid w:val="00736633"/>
    <w:rsid w:val="007425E2"/>
    <w:rsid w:val="00744723"/>
    <w:rsid w:val="00747161"/>
    <w:rsid w:val="007602A9"/>
    <w:rsid w:val="00762715"/>
    <w:rsid w:val="00780B1F"/>
    <w:rsid w:val="00781BC7"/>
    <w:rsid w:val="00782901"/>
    <w:rsid w:val="00784285"/>
    <w:rsid w:val="007A09EB"/>
    <w:rsid w:val="007A38A0"/>
    <w:rsid w:val="007A4755"/>
    <w:rsid w:val="007A651F"/>
    <w:rsid w:val="007B5FED"/>
    <w:rsid w:val="007C1ABE"/>
    <w:rsid w:val="007C4618"/>
    <w:rsid w:val="007C778D"/>
    <w:rsid w:val="007C77A4"/>
    <w:rsid w:val="007D013E"/>
    <w:rsid w:val="007D1DE3"/>
    <w:rsid w:val="007F092C"/>
    <w:rsid w:val="007F1C34"/>
    <w:rsid w:val="007F21F8"/>
    <w:rsid w:val="00805362"/>
    <w:rsid w:val="00813CAC"/>
    <w:rsid w:val="00822DD4"/>
    <w:rsid w:val="00824607"/>
    <w:rsid w:val="0082654B"/>
    <w:rsid w:val="00826A2E"/>
    <w:rsid w:val="00832724"/>
    <w:rsid w:val="008366F7"/>
    <w:rsid w:val="00844BC0"/>
    <w:rsid w:val="00856344"/>
    <w:rsid w:val="00861850"/>
    <w:rsid w:val="008639EE"/>
    <w:rsid w:val="0087108D"/>
    <w:rsid w:val="008733EE"/>
    <w:rsid w:val="00873432"/>
    <w:rsid w:val="00880FD7"/>
    <w:rsid w:val="0088299A"/>
    <w:rsid w:val="008831F6"/>
    <w:rsid w:val="008907B2"/>
    <w:rsid w:val="008931A3"/>
    <w:rsid w:val="0089405C"/>
    <w:rsid w:val="00897BF8"/>
    <w:rsid w:val="00897DC6"/>
    <w:rsid w:val="008A1E61"/>
    <w:rsid w:val="008B04B4"/>
    <w:rsid w:val="008B3E75"/>
    <w:rsid w:val="008B57FC"/>
    <w:rsid w:val="008B6DC8"/>
    <w:rsid w:val="008C611B"/>
    <w:rsid w:val="008C61F6"/>
    <w:rsid w:val="008D79B6"/>
    <w:rsid w:val="008E0D6D"/>
    <w:rsid w:val="008E1B0E"/>
    <w:rsid w:val="008E3539"/>
    <w:rsid w:val="008E424D"/>
    <w:rsid w:val="008F0A94"/>
    <w:rsid w:val="008F4F30"/>
    <w:rsid w:val="00900116"/>
    <w:rsid w:val="00910681"/>
    <w:rsid w:val="009128A2"/>
    <w:rsid w:val="0091492D"/>
    <w:rsid w:val="0091578E"/>
    <w:rsid w:val="00915FEF"/>
    <w:rsid w:val="00922748"/>
    <w:rsid w:val="00923624"/>
    <w:rsid w:val="00924C19"/>
    <w:rsid w:val="00940C69"/>
    <w:rsid w:val="0094132E"/>
    <w:rsid w:val="00950678"/>
    <w:rsid w:val="00953167"/>
    <w:rsid w:val="00954391"/>
    <w:rsid w:val="00954409"/>
    <w:rsid w:val="009566D7"/>
    <w:rsid w:val="00963649"/>
    <w:rsid w:val="009675CC"/>
    <w:rsid w:val="009847F9"/>
    <w:rsid w:val="009866DD"/>
    <w:rsid w:val="00991900"/>
    <w:rsid w:val="00992CA3"/>
    <w:rsid w:val="00995E8E"/>
    <w:rsid w:val="00997683"/>
    <w:rsid w:val="009A28DA"/>
    <w:rsid w:val="009A3583"/>
    <w:rsid w:val="009A3BF9"/>
    <w:rsid w:val="009A45BD"/>
    <w:rsid w:val="009A538C"/>
    <w:rsid w:val="009B0F80"/>
    <w:rsid w:val="009B212E"/>
    <w:rsid w:val="009B3D44"/>
    <w:rsid w:val="009B4680"/>
    <w:rsid w:val="009C22E3"/>
    <w:rsid w:val="009D7BB6"/>
    <w:rsid w:val="009E5272"/>
    <w:rsid w:val="009F2726"/>
    <w:rsid w:val="009F7CAF"/>
    <w:rsid w:val="00A03D40"/>
    <w:rsid w:val="00A04950"/>
    <w:rsid w:val="00A120BA"/>
    <w:rsid w:val="00A121D0"/>
    <w:rsid w:val="00A217E8"/>
    <w:rsid w:val="00A2475A"/>
    <w:rsid w:val="00A24ED0"/>
    <w:rsid w:val="00A30FB4"/>
    <w:rsid w:val="00A454B5"/>
    <w:rsid w:val="00A47999"/>
    <w:rsid w:val="00A55D3E"/>
    <w:rsid w:val="00A567F6"/>
    <w:rsid w:val="00A576FB"/>
    <w:rsid w:val="00A57934"/>
    <w:rsid w:val="00A81D74"/>
    <w:rsid w:val="00A85672"/>
    <w:rsid w:val="00A93B64"/>
    <w:rsid w:val="00A964B9"/>
    <w:rsid w:val="00AA4F07"/>
    <w:rsid w:val="00AA668C"/>
    <w:rsid w:val="00AB183D"/>
    <w:rsid w:val="00AC452A"/>
    <w:rsid w:val="00AC5E4E"/>
    <w:rsid w:val="00AD6E7B"/>
    <w:rsid w:val="00AE0B7A"/>
    <w:rsid w:val="00AE255A"/>
    <w:rsid w:val="00AF24A3"/>
    <w:rsid w:val="00AF4114"/>
    <w:rsid w:val="00AF4344"/>
    <w:rsid w:val="00B0069A"/>
    <w:rsid w:val="00B0684B"/>
    <w:rsid w:val="00B06EC5"/>
    <w:rsid w:val="00B11C6F"/>
    <w:rsid w:val="00B1261E"/>
    <w:rsid w:val="00B1513E"/>
    <w:rsid w:val="00B157CA"/>
    <w:rsid w:val="00B16993"/>
    <w:rsid w:val="00B20728"/>
    <w:rsid w:val="00B216F4"/>
    <w:rsid w:val="00B21F46"/>
    <w:rsid w:val="00B45A7E"/>
    <w:rsid w:val="00B531DE"/>
    <w:rsid w:val="00B55A9F"/>
    <w:rsid w:val="00B578B2"/>
    <w:rsid w:val="00B61C52"/>
    <w:rsid w:val="00B623DF"/>
    <w:rsid w:val="00B71484"/>
    <w:rsid w:val="00B716C1"/>
    <w:rsid w:val="00B73E29"/>
    <w:rsid w:val="00B91180"/>
    <w:rsid w:val="00B921A2"/>
    <w:rsid w:val="00B94D28"/>
    <w:rsid w:val="00BA21AB"/>
    <w:rsid w:val="00BA28A6"/>
    <w:rsid w:val="00BA3D23"/>
    <w:rsid w:val="00BA414B"/>
    <w:rsid w:val="00BA41AD"/>
    <w:rsid w:val="00BB4D0B"/>
    <w:rsid w:val="00BB53E6"/>
    <w:rsid w:val="00BC3FD1"/>
    <w:rsid w:val="00BC6ED0"/>
    <w:rsid w:val="00BD25D6"/>
    <w:rsid w:val="00BD4B74"/>
    <w:rsid w:val="00BE6A5B"/>
    <w:rsid w:val="00BF16F8"/>
    <w:rsid w:val="00BF3335"/>
    <w:rsid w:val="00BF4D81"/>
    <w:rsid w:val="00BF7884"/>
    <w:rsid w:val="00C01FA4"/>
    <w:rsid w:val="00C03D76"/>
    <w:rsid w:val="00C05723"/>
    <w:rsid w:val="00C07B56"/>
    <w:rsid w:val="00C10C26"/>
    <w:rsid w:val="00C13764"/>
    <w:rsid w:val="00C2208E"/>
    <w:rsid w:val="00C404F5"/>
    <w:rsid w:val="00C41991"/>
    <w:rsid w:val="00C50290"/>
    <w:rsid w:val="00C54F1B"/>
    <w:rsid w:val="00C55D5E"/>
    <w:rsid w:val="00C70920"/>
    <w:rsid w:val="00C72C93"/>
    <w:rsid w:val="00C77642"/>
    <w:rsid w:val="00C77DBE"/>
    <w:rsid w:val="00C94915"/>
    <w:rsid w:val="00CA09F2"/>
    <w:rsid w:val="00CA3C52"/>
    <w:rsid w:val="00CA4563"/>
    <w:rsid w:val="00CB1C4F"/>
    <w:rsid w:val="00CB3EC0"/>
    <w:rsid w:val="00CB415A"/>
    <w:rsid w:val="00CB75E0"/>
    <w:rsid w:val="00CC3B8B"/>
    <w:rsid w:val="00CC5D72"/>
    <w:rsid w:val="00CC6587"/>
    <w:rsid w:val="00CC6F04"/>
    <w:rsid w:val="00CC7B66"/>
    <w:rsid w:val="00CF1269"/>
    <w:rsid w:val="00CF37B1"/>
    <w:rsid w:val="00D0465B"/>
    <w:rsid w:val="00D05751"/>
    <w:rsid w:val="00D172C3"/>
    <w:rsid w:val="00D20E84"/>
    <w:rsid w:val="00D2511C"/>
    <w:rsid w:val="00D37374"/>
    <w:rsid w:val="00D40152"/>
    <w:rsid w:val="00D510ED"/>
    <w:rsid w:val="00D545BE"/>
    <w:rsid w:val="00D56393"/>
    <w:rsid w:val="00D63B2B"/>
    <w:rsid w:val="00D63FD9"/>
    <w:rsid w:val="00D72439"/>
    <w:rsid w:val="00D759F7"/>
    <w:rsid w:val="00D80146"/>
    <w:rsid w:val="00D80E40"/>
    <w:rsid w:val="00D80F51"/>
    <w:rsid w:val="00DA2AE1"/>
    <w:rsid w:val="00DA4679"/>
    <w:rsid w:val="00DB2298"/>
    <w:rsid w:val="00DB45C0"/>
    <w:rsid w:val="00DB4896"/>
    <w:rsid w:val="00DB5207"/>
    <w:rsid w:val="00DC6731"/>
    <w:rsid w:val="00DC738C"/>
    <w:rsid w:val="00DC7E5B"/>
    <w:rsid w:val="00DD07F0"/>
    <w:rsid w:val="00DE3162"/>
    <w:rsid w:val="00DE47BB"/>
    <w:rsid w:val="00DF064B"/>
    <w:rsid w:val="00DF48D4"/>
    <w:rsid w:val="00E04CD9"/>
    <w:rsid w:val="00E14276"/>
    <w:rsid w:val="00E14E40"/>
    <w:rsid w:val="00E16EF6"/>
    <w:rsid w:val="00E17112"/>
    <w:rsid w:val="00E2290A"/>
    <w:rsid w:val="00E22A3A"/>
    <w:rsid w:val="00E25621"/>
    <w:rsid w:val="00E32823"/>
    <w:rsid w:val="00E3288B"/>
    <w:rsid w:val="00E435B1"/>
    <w:rsid w:val="00E43CED"/>
    <w:rsid w:val="00E44CBC"/>
    <w:rsid w:val="00E47CE3"/>
    <w:rsid w:val="00E52592"/>
    <w:rsid w:val="00E61990"/>
    <w:rsid w:val="00E638C1"/>
    <w:rsid w:val="00E65BB6"/>
    <w:rsid w:val="00E7335E"/>
    <w:rsid w:val="00E75CA8"/>
    <w:rsid w:val="00E841FA"/>
    <w:rsid w:val="00E924F7"/>
    <w:rsid w:val="00E92C7E"/>
    <w:rsid w:val="00EA16BD"/>
    <w:rsid w:val="00EA21F4"/>
    <w:rsid w:val="00EA3466"/>
    <w:rsid w:val="00EB0F03"/>
    <w:rsid w:val="00EB17FC"/>
    <w:rsid w:val="00EB247A"/>
    <w:rsid w:val="00EB6EE5"/>
    <w:rsid w:val="00EC3C6B"/>
    <w:rsid w:val="00EC6DE9"/>
    <w:rsid w:val="00EC6E44"/>
    <w:rsid w:val="00EC70D4"/>
    <w:rsid w:val="00EC7281"/>
    <w:rsid w:val="00EC7D43"/>
    <w:rsid w:val="00ED011A"/>
    <w:rsid w:val="00ED032B"/>
    <w:rsid w:val="00EE0DB3"/>
    <w:rsid w:val="00EE32FA"/>
    <w:rsid w:val="00EE3E85"/>
    <w:rsid w:val="00EF23D9"/>
    <w:rsid w:val="00EF365F"/>
    <w:rsid w:val="00EF3B40"/>
    <w:rsid w:val="00EF4D49"/>
    <w:rsid w:val="00F02E1E"/>
    <w:rsid w:val="00F03DCB"/>
    <w:rsid w:val="00F0715F"/>
    <w:rsid w:val="00F104D1"/>
    <w:rsid w:val="00F131C6"/>
    <w:rsid w:val="00F30E82"/>
    <w:rsid w:val="00F3396F"/>
    <w:rsid w:val="00F34487"/>
    <w:rsid w:val="00F34A80"/>
    <w:rsid w:val="00F3693F"/>
    <w:rsid w:val="00F41818"/>
    <w:rsid w:val="00F45858"/>
    <w:rsid w:val="00F45E30"/>
    <w:rsid w:val="00F50E17"/>
    <w:rsid w:val="00F52F52"/>
    <w:rsid w:val="00F53753"/>
    <w:rsid w:val="00F5432F"/>
    <w:rsid w:val="00F61FFE"/>
    <w:rsid w:val="00F623B7"/>
    <w:rsid w:val="00F647C9"/>
    <w:rsid w:val="00F71089"/>
    <w:rsid w:val="00F71D97"/>
    <w:rsid w:val="00F75B54"/>
    <w:rsid w:val="00F82C14"/>
    <w:rsid w:val="00F84E03"/>
    <w:rsid w:val="00F854F6"/>
    <w:rsid w:val="00F87A14"/>
    <w:rsid w:val="00F94809"/>
    <w:rsid w:val="00F94AE7"/>
    <w:rsid w:val="00F97D90"/>
    <w:rsid w:val="00FA2F52"/>
    <w:rsid w:val="00FA3070"/>
    <w:rsid w:val="00FA3CCC"/>
    <w:rsid w:val="00FA6915"/>
    <w:rsid w:val="00FB4497"/>
    <w:rsid w:val="00FB786C"/>
    <w:rsid w:val="00FB7BB7"/>
    <w:rsid w:val="00FC5234"/>
    <w:rsid w:val="00FC7520"/>
    <w:rsid w:val="00FD0779"/>
    <w:rsid w:val="00FD7282"/>
    <w:rsid w:val="00FE63AA"/>
    <w:rsid w:val="00FF010B"/>
    <w:rsid w:val="00FF4E5A"/>
    <w:rsid w:val="00FF6E15"/>
    <w:rsid w:val="00FF7A8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47FAE"/>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047FAE"/>
    <w:tblPr>
      <w:tblInd w:w="0" w:type="dxa"/>
      <w:tblCellMar>
        <w:top w:w="0" w:type="dxa"/>
        <w:left w:w="0" w:type="dxa"/>
        <w:bottom w:w="0" w:type="dxa"/>
        <w:right w:w="0" w:type="dxa"/>
      </w:tblCellMar>
    </w:tblPr>
  </w:style>
  <w:style w:type="paragraph" w:customStyle="1" w:styleId="TOC11">
    <w:name w:val="TOC 11"/>
    <w:basedOn w:val="Normal"/>
    <w:uiPriority w:val="1"/>
    <w:qFormat/>
    <w:rsid w:val="00047FAE"/>
    <w:pPr>
      <w:ind w:left="100"/>
    </w:pPr>
    <w:rPr>
      <w:rFonts w:ascii="Arial" w:eastAsia="Arial" w:hAnsi="Arial"/>
      <w:sz w:val="24"/>
      <w:szCs w:val="24"/>
    </w:rPr>
  </w:style>
  <w:style w:type="paragraph" w:customStyle="1" w:styleId="TOC21">
    <w:name w:val="TOC 21"/>
    <w:basedOn w:val="Normal"/>
    <w:uiPriority w:val="1"/>
    <w:qFormat/>
    <w:rsid w:val="00047FAE"/>
    <w:pPr>
      <w:ind w:left="820" w:hanging="360"/>
    </w:pPr>
    <w:rPr>
      <w:rFonts w:ascii="Arial" w:eastAsia="Arial" w:hAnsi="Arial"/>
      <w:sz w:val="24"/>
      <w:szCs w:val="24"/>
    </w:rPr>
  </w:style>
  <w:style w:type="paragraph" w:styleId="BodyText">
    <w:name w:val="Body Text"/>
    <w:basedOn w:val="Normal"/>
    <w:uiPriority w:val="1"/>
    <w:qFormat/>
    <w:rsid w:val="00047FAE"/>
    <w:pPr>
      <w:ind w:left="120"/>
    </w:pPr>
    <w:rPr>
      <w:rFonts w:ascii="Arial" w:eastAsia="Arial" w:hAnsi="Arial"/>
      <w:sz w:val="24"/>
      <w:szCs w:val="24"/>
    </w:rPr>
  </w:style>
  <w:style w:type="paragraph" w:customStyle="1" w:styleId="Heading11">
    <w:name w:val="Heading 11"/>
    <w:basedOn w:val="Normal"/>
    <w:uiPriority w:val="1"/>
    <w:qFormat/>
    <w:rsid w:val="00047FAE"/>
    <w:pPr>
      <w:spacing w:before="58"/>
      <w:ind w:left="120"/>
      <w:outlineLvl w:val="1"/>
    </w:pPr>
    <w:rPr>
      <w:rFonts w:ascii="Arial" w:eastAsia="Arial" w:hAnsi="Arial"/>
      <w:b/>
      <w:bCs/>
      <w:sz w:val="32"/>
      <w:szCs w:val="32"/>
    </w:rPr>
  </w:style>
  <w:style w:type="paragraph" w:customStyle="1" w:styleId="Heading21">
    <w:name w:val="Heading 21"/>
    <w:basedOn w:val="Normal"/>
    <w:uiPriority w:val="1"/>
    <w:qFormat/>
    <w:rsid w:val="00047FAE"/>
    <w:pPr>
      <w:ind w:left="120"/>
      <w:outlineLvl w:val="2"/>
    </w:pPr>
    <w:rPr>
      <w:rFonts w:ascii="Arial" w:eastAsia="Arial" w:hAnsi="Arial"/>
      <w:b/>
      <w:bCs/>
      <w:sz w:val="24"/>
      <w:szCs w:val="24"/>
    </w:rPr>
  </w:style>
  <w:style w:type="paragraph" w:styleId="ListParagraph">
    <w:name w:val="List Paragraph"/>
    <w:basedOn w:val="Normal"/>
    <w:uiPriority w:val="1"/>
    <w:qFormat/>
    <w:rsid w:val="00047FAE"/>
  </w:style>
  <w:style w:type="paragraph" w:customStyle="1" w:styleId="TableParagraph">
    <w:name w:val="Table Paragraph"/>
    <w:basedOn w:val="Normal"/>
    <w:uiPriority w:val="1"/>
    <w:qFormat/>
    <w:rsid w:val="00047FAE"/>
  </w:style>
  <w:style w:type="character" w:customStyle="1" w:styleId="tw4winMark">
    <w:name w:val="tw4winMark"/>
    <w:basedOn w:val="DefaultParagraphFont"/>
    <w:rsid w:val="00A24ED0"/>
    <w:rPr>
      <w:rFonts w:ascii="Courier New" w:eastAsia="Arial" w:hAnsi="Courier New" w:cs="Courier New"/>
      <w:b w:val="0"/>
      <w:bCs/>
      <w:i w:val="0"/>
      <w:dstrike w:val="0"/>
      <w:noProof/>
      <w:vanish/>
      <w:color w:val="800080"/>
      <w:sz w:val="22"/>
      <w:szCs w:val="72"/>
      <w:effect w:val="none"/>
      <w:vertAlign w:val="subscript"/>
    </w:rPr>
  </w:style>
  <w:style w:type="paragraph" w:styleId="BalloonText">
    <w:name w:val="Balloon Text"/>
    <w:basedOn w:val="Normal"/>
    <w:link w:val="BalloonTextChar"/>
    <w:uiPriority w:val="99"/>
    <w:semiHidden/>
    <w:unhideWhenUsed/>
    <w:rsid w:val="009A3BF9"/>
    <w:rPr>
      <w:rFonts w:ascii="Tahoma" w:hAnsi="Tahoma" w:cs="Tahoma"/>
      <w:sz w:val="16"/>
      <w:szCs w:val="16"/>
    </w:rPr>
  </w:style>
  <w:style w:type="character" w:customStyle="1" w:styleId="BalloonTextChar">
    <w:name w:val="Balloon Text Char"/>
    <w:basedOn w:val="DefaultParagraphFont"/>
    <w:link w:val="BalloonText"/>
    <w:uiPriority w:val="99"/>
    <w:semiHidden/>
    <w:rsid w:val="009A3BF9"/>
    <w:rPr>
      <w:rFonts w:ascii="Tahoma" w:hAnsi="Tahoma" w:cs="Tahoma"/>
      <w:sz w:val="16"/>
      <w:szCs w:val="16"/>
    </w:rPr>
  </w:style>
  <w:style w:type="paragraph" w:styleId="Title">
    <w:name w:val="Title"/>
    <w:basedOn w:val="Normal"/>
    <w:next w:val="Normal"/>
    <w:link w:val="TitleChar"/>
    <w:qFormat/>
    <w:rsid w:val="00BA3D23"/>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CA" w:eastAsia="fr-CA"/>
    </w:rPr>
  </w:style>
  <w:style w:type="character" w:customStyle="1" w:styleId="TitleChar">
    <w:name w:val="Title Char"/>
    <w:basedOn w:val="DefaultParagraphFont"/>
    <w:link w:val="Title"/>
    <w:rsid w:val="00BA3D23"/>
    <w:rPr>
      <w:rFonts w:asciiTheme="majorHAnsi" w:eastAsiaTheme="majorEastAsia" w:hAnsiTheme="majorHAnsi" w:cstheme="majorBidi"/>
      <w:color w:val="17365D" w:themeColor="text2" w:themeShade="BF"/>
      <w:spacing w:val="5"/>
      <w:kern w:val="28"/>
      <w:sz w:val="52"/>
      <w:szCs w:val="52"/>
      <w:lang w:val="en-CA"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47FAE"/>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047FAE"/>
    <w:tblPr>
      <w:tblInd w:w="0" w:type="dxa"/>
      <w:tblCellMar>
        <w:top w:w="0" w:type="dxa"/>
        <w:left w:w="0" w:type="dxa"/>
        <w:bottom w:w="0" w:type="dxa"/>
        <w:right w:w="0" w:type="dxa"/>
      </w:tblCellMar>
    </w:tblPr>
  </w:style>
  <w:style w:type="paragraph" w:customStyle="1" w:styleId="TOC11">
    <w:name w:val="TOC 11"/>
    <w:basedOn w:val="Normal"/>
    <w:uiPriority w:val="1"/>
    <w:qFormat/>
    <w:rsid w:val="00047FAE"/>
    <w:pPr>
      <w:ind w:left="100"/>
    </w:pPr>
    <w:rPr>
      <w:rFonts w:ascii="Arial" w:eastAsia="Arial" w:hAnsi="Arial"/>
      <w:sz w:val="24"/>
      <w:szCs w:val="24"/>
    </w:rPr>
  </w:style>
  <w:style w:type="paragraph" w:customStyle="1" w:styleId="TOC21">
    <w:name w:val="TOC 21"/>
    <w:basedOn w:val="Normal"/>
    <w:uiPriority w:val="1"/>
    <w:qFormat/>
    <w:rsid w:val="00047FAE"/>
    <w:pPr>
      <w:ind w:left="820" w:hanging="360"/>
    </w:pPr>
    <w:rPr>
      <w:rFonts w:ascii="Arial" w:eastAsia="Arial" w:hAnsi="Arial"/>
      <w:sz w:val="24"/>
      <w:szCs w:val="24"/>
    </w:rPr>
  </w:style>
  <w:style w:type="paragraph" w:styleId="BodyText">
    <w:name w:val="Body Text"/>
    <w:basedOn w:val="Normal"/>
    <w:uiPriority w:val="1"/>
    <w:qFormat/>
    <w:rsid w:val="00047FAE"/>
    <w:pPr>
      <w:ind w:left="120"/>
    </w:pPr>
    <w:rPr>
      <w:rFonts w:ascii="Arial" w:eastAsia="Arial" w:hAnsi="Arial"/>
      <w:sz w:val="24"/>
      <w:szCs w:val="24"/>
    </w:rPr>
  </w:style>
  <w:style w:type="paragraph" w:customStyle="1" w:styleId="Heading11">
    <w:name w:val="Heading 11"/>
    <w:basedOn w:val="Normal"/>
    <w:uiPriority w:val="1"/>
    <w:qFormat/>
    <w:rsid w:val="00047FAE"/>
    <w:pPr>
      <w:spacing w:before="58"/>
      <w:ind w:left="120"/>
      <w:outlineLvl w:val="1"/>
    </w:pPr>
    <w:rPr>
      <w:rFonts w:ascii="Arial" w:eastAsia="Arial" w:hAnsi="Arial"/>
      <w:b/>
      <w:bCs/>
      <w:sz w:val="32"/>
      <w:szCs w:val="32"/>
    </w:rPr>
  </w:style>
  <w:style w:type="paragraph" w:customStyle="1" w:styleId="Heading21">
    <w:name w:val="Heading 21"/>
    <w:basedOn w:val="Normal"/>
    <w:uiPriority w:val="1"/>
    <w:qFormat/>
    <w:rsid w:val="00047FAE"/>
    <w:pPr>
      <w:ind w:left="120"/>
      <w:outlineLvl w:val="2"/>
    </w:pPr>
    <w:rPr>
      <w:rFonts w:ascii="Arial" w:eastAsia="Arial" w:hAnsi="Arial"/>
      <w:b/>
      <w:bCs/>
      <w:sz w:val="24"/>
      <w:szCs w:val="24"/>
    </w:rPr>
  </w:style>
  <w:style w:type="paragraph" w:styleId="ListParagraph">
    <w:name w:val="List Paragraph"/>
    <w:basedOn w:val="Normal"/>
    <w:uiPriority w:val="1"/>
    <w:qFormat/>
    <w:rsid w:val="00047FAE"/>
  </w:style>
  <w:style w:type="paragraph" w:customStyle="1" w:styleId="TableParagraph">
    <w:name w:val="Table Paragraph"/>
    <w:basedOn w:val="Normal"/>
    <w:uiPriority w:val="1"/>
    <w:qFormat/>
    <w:rsid w:val="00047FAE"/>
  </w:style>
  <w:style w:type="character" w:customStyle="1" w:styleId="tw4winMark">
    <w:name w:val="tw4winMark"/>
    <w:basedOn w:val="DefaultParagraphFont"/>
    <w:rsid w:val="00A24ED0"/>
    <w:rPr>
      <w:rFonts w:ascii="Courier New" w:eastAsia="Arial" w:hAnsi="Courier New" w:cs="Courier New"/>
      <w:b w:val="0"/>
      <w:bCs/>
      <w:i w:val="0"/>
      <w:dstrike w:val="0"/>
      <w:noProof/>
      <w:vanish/>
      <w:color w:val="800080"/>
      <w:sz w:val="22"/>
      <w:szCs w:val="72"/>
      <w:effect w:val="none"/>
      <w:vertAlign w:val="subscript"/>
    </w:rPr>
  </w:style>
  <w:style w:type="paragraph" w:styleId="BalloonText">
    <w:name w:val="Balloon Text"/>
    <w:basedOn w:val="Normal"/>
    <w:link w:val="BalloonTextChar"/>
    <w:uiPriority w:val="99"/>
    <w:semiHidden/>
    <w:unhideWhenUsed/>
    <w:rsid w:val="009A3BF9"/>
    <w:rPr>
      <w:rFonts w:ascii="Tahoma" w:hAnsi="Tahoma" w:cs="Tahoma"/>
      <w:sz w:val="16"/>
      <w:szCs w:val="16"/>
    </w:rPr>
  </w:style>
  <w:style w:type="character" w:customStyle="1" w:styleId="BalloonTextChar">
    <w:name w:val="Balloon Text Char"/>
    <w:basedOn w:val="DefaultParagraphFont"/>
    <w:link w:val="BalloonText"/>
    <w:uiPriority w:val="99"/>
    <w:semiHidden/>
    <w:rsid w:val="009A3BF9"/>
    <w:rPr>
      <w:rFonts w:ascii="Tahoma" w:hAnsi="Tahoma" w:cs="Tahoma"/>
      <w:sz w:val="16"/>
      <w:szCs w:val="16"/>
    </w:rPr>
  </w:style>
  <w:style w:type="paragraph" w:styleId="Title">
    <w:name w:val="Title"/>
    <w:basedOn w:val="Normal"/>
    <w:next w:val="Normal"/>
    <w:link w:val="TitleChar"/>
    <w:qFormat/>
    <w:rsid w:val="00BA3D23"/>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CA" w:eastAsia="fr-CA"/>
    </w:rPr>
  </w:style>
  <w:style w:type="character" w:customStyle="1" w:styleId="TitleChar">
    <w:name w:val="Title Char"/>
    <w:basedOn w:val="DefaultParagraphFont"/>
    <w:link w:val="Title"/>
    <w:rsid w:val="00BA3D23"/>
    <w:rPr>
      <w:rFonts w:asciiTheme="majorHAnsi" w:eastAsiaTheme="majorEastAsia" w:hAnsiTheme="majorHAnsi" w:cstheme="majorBidi"/>
      <w:color w:val="17365D" w:themeColor="text2" w:themeShade="BF"/>
      <w:spacing w:val="5"/>
      <w:kern w:val="28"/>
      <w:sz w:val="52"/>
      <w:szCs w:val="52"/>
      <w:lang w:val="en-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228746">
      <w:bodyDiv w:val="1"/>
      <w:marLeft w:val="0"/>
      <w:marRight w:val="0"/>
      <w:marTop w:val="0"/>
      <w:marBottom w:val="0"/>
      <w:divBdr>
        <w:top w:val="none" w:sz="0" w:space="0" w:color="auto"/>
        <w:left w:val="none" w:sz="0" w:space="0" w:color="auto"/>
        <w:bottom w:val="none" w:sz="0" w:space="0" w:color="auto"/>
        <w:right w:val="none" w:sz="0" w:space="0" w:color="auto"/>
      </w:divBdr>
      <w:divsChild>
        <w:div w:id="651643587">
          <w:marLeft w:val="0"/>
          <w:marRight w:val="0"/>
          <w:marTop w:val="0"/>
          <w:marBottom w:val="0"/>
          <w:divBdr>
            <w:top w:val="none" w:sz="0" w:space="0" w:color="auto"/>
            <w:left w:val="none" w:sz="0" w:space="0" w:color="auto"/>
            <w:bottom w:val="none" w:sz="0" w:space="0" w:color="auto"/>
            <w:right w:val="none" w:sz="0" w:space="0" w:color="auto"/>
          </w:divBdr>
          <w:divsChild>
            <w:div w:id="477186581">
              <w:marLeft w:val="0"/>
              <w:marRight w:val="0"/>
              <w:marTop w:val="0"/>
              <w:marBottom w:val="0"/>
              <w:divBdr>
                <w:top w:val="none" w:sz="0" w:space="0" w:color="auto"/>
                <w:left w:val="none" w:sz="0" w:space="0" w:color="auto"/>
                <w:bottom w:val="none" w:sz="0" w:space="0" w:color="auto"/>
                <w:right w:val="none" w:sz="0" w:space="0" w:color="auto"/>
              </w:divBdr>
              <w:divsChild>
                <w:div w:id="1051345115">
                  <w:marLeft w:val="0"/>
                  <w:marRight w:val="0"/>
                  <w:marTop w:val="0"/>
                  <w:marBottom w:val="0"/>
                  <w:divBdr>
                    <w:top w:val="none" w:sz="0" w:space="0" w:color="auto"/>
                    <w:left w:val="none" w:sz="0" w:space="0" w:color="auto"/>
                    <w:bottom w:val="none" w:sz="0" w:space="0" w:color="auto"/>
                    <w:right w:val="none" w:sz="0" w:space="0" w:color="auto"/>
                  </w:divBdr>
                  <w:divsChild>
                    <w:div w:id="1065571832">
                      <w:marLeft w:val="0"/>
                      <w:marRight w:val="0"/>
                      <w:marTop w:val="0"/>
                      <w:marBottom w:val="0"/>
                      <w:divBdr>
                        <w:top w:val="none" w:sz="0" w:space="0" w:color="auto"/>
                        <w:left w:val="none" w:sz="0" w:space="0" w:color="auto"/>
                        <w:bottom w:val="none" w:sz="0" w:space="0" w:color="auto"/>
                        <w:right w:val="none" w:sz="0" w:space="0" w:color="auto"/>
                      </w:divBdr>
                      <w:divsChild>
                        <w:div w:id="17380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222448">
      <w:bodyDiv w:val="1"/>
      <w:marLeft w:val="0"/>
      <w:marRight w:val="0"/>
      <w:marTop w:val="0"/>
      <w:marBottom w:val="0"/>
      <w:divBdr>
        <w:top w:val="none" w:sz="0" w:space="0" w:color="auto"/>
        <w:left w:val="none" w:sz="0" w:space="0" w:color="auto"/>
        <w:bottom w:val="none" w:sz="0" w:space="0" w:color="auto"/>
        <w:right w:val="none" w:sz="0" w:space="0" w:color="auto"/>
      </w:divBdr>
      <w:divsChild>
        <w:div w:id="1201472817">
          <w:marLeft w:val="0"/>
          <w:marRight w:val="0"/>
          <w:marTop w:val="0"/>
          <w:marBottom w:val="0"/>
          <w:divBdr>
            <w:top w:val="none" w:sz="0" w:space="0" w:color="auto"/>
            <w:left w:val="none" w:sz="0" w:space="0" w:color="auto"/>
            <w:bottom w:val="none" w:sz="0" w:space="0" w:color="auto"/>
            <w:right w:val="none" w:sz="0" w:space="0" w:color="auto"/>
          </w:divBdr>
          <w:divsChild>
            <w:div w:id="833257383">
              <w:marLeft w:val="0"/>
              <w:marRight w:val="0"/>
              <w:marTop w:val="0"/>
              <w:marBottom w:val="0"/>
              <w:divBdr>
                <w:top w:val="none" w:sz="0" w:space="0" w:color="auto"/>
                <w:left w:val="none" w:sz="0" w:space="0" w:color="auto"/>
                <w:bottom w:val="none" w:sz="0" w:space="0" w:color="auto"/>
                <w:right w:val="none" w:sz="0" w:space="0" w:color="auto"/>
              </w:divBdr>
              <w:divsChild>
                <w:div w:id="710501888">
                  <w:marLeft w:val="0"/>
                  <w:marRight w:val="0"/>
                  <w:marTop w:val="0"/>
                  <w:marBottom w:val="0"/>
                  <w:divBdr>
                    <w:top w:val="none" w:sz="0" w:space="0" w:color="auto"/>
                    <w:left w:val="none" w:sz="0" w:space="0" w:color="auto"/>
                    <w:bottom w:val="none" w:sz="0" w:space="0" w:color="auto"/>
                    <w:right w:val="none" w:sz="0" w:space="0" w:color="auto"/>
                  </w:divBdr>
                  <w:divsChild>
                    <w:div w:id="35087348">
                      <w:marLeft w:val="0"/>
                      <w:marRight w:val="0"/>
                      <w:marTop w:val="0"/>
                      <w:marBottom w:val="0"/>
                      <w:divBdr>
                        <w:top w:val="none" w:sz="0" w:space="0" w:color="auto"/>
                        <w:left w:val="none" w:sz="0" w:space="0" w:color="auto"/>
                        <w:bottom w:val="none" w:sz="0" w:space="0" w:color="auto"/>
                        <w:right w:val="none" w:sz="0" w:space="0" w:color="auto"/>
                      </w:divBdr>
                      <w:divsChild>
                        <w:div w:id="13919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63D3A-EE34-4C76-965F-E54E63904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17049</Words>
  <Characters>97182</Characters>
  <Application>Microsoft Office Word</Application>
  <DocSecurity>0</DocSecurity>
  <Lines>809</Lines>
  <Paragraphs>228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Business Law Advisory Council, Fall 2016  (00037005.DOCX;1)</vt:lpstr>
      <vt:lpstr>Report of the Business Law Advisory Council, Fall 2016  (00037005.DOCX;1)</vt:lpstr>
    </vt:vector>
  </TitlesOfParts>
  <Company>Hewlett-Packard Company</Company>
  <LinksUpToDate>false</LinksUpToDate>
  <CharactersWithSpaces>114003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Business Law Advisory Council, Fall 2016  (00037005.DOCX;1)</dc:title>
  <dc:subject>Doc#: 00037005.1</dc:subject>
  <dc:creator>Carol Hansell</dc:creator>
  <cp:lastModifiedBy>Canale, Michelle (MGCS)</cp:lastModifiedBy>
  <cp:revision>2</cp:revision>
  <cp:lastPrinted>2016-11-10T10:34:00Z</cp:lastPrinted>
  <dcterms:created xsi:type="dcterms:W3CDTF">2017-02-07T22:00:00Z</dcterms:created>
  <dcterms:modified xsi:type="dcterms:W3CDTF">2017-02-07T22:00:00Z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2016-11-04T00:00:00Z</vt:filetime>
  </property>
  <property fmtid="{D5CDD505-2E9C-101B-9397-08002B2CF9AE}" pid="3" name="LastSaved">
    <vt:filetime>2016-11-04T00:00:00Z</vt:filetime>
  </property>
</Properties>
</file>