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19" w:rsidRPr="005643FA" w:rsidRDefault="006326C1" w:rsidP="0036522E">
      <w:pPr>
        <w:jc w:val="center"/>
        <w:rPr>
          <w:rFonts w:cstheme="minorHAnsi"/>
          <w:b/>
        </w:rPr>
      </w:pPr>
      <w:r>
        <w:rPr>
          <w:rFonts w:cstheme="minorHAnsi"/>
          <w:b/>
        </w:rPr>
        <w:t>Summary of Consequential Amendments</w:t>
      </w:r>
    </w:p>
    <w:p w:rsidR="00F152CE" w:rsidRPr="005643FA" w:rsidRDefault="00F152CE" w:rsidP="00C1147B">
      <w:pPr>
        <w:rPr>
          <w:rFonts w:cstheme="minorHAnsi"/>
          <w:b/>
        </w:rPr>
      </w:pPr>
      <w:r w:rsidRPr="005643FA">
        <w:rPr>
          <w:rFonts w:cstheme="minorHAnsi"/>
          <w:b/>
        </w:rPr>
        <w:t>OVERALL SUMMARY</w:t>
      </w:r>
    </w:p>
    <w:p w:rsidR="003B3F6F" w:rsidRPr="005643FA" w:rsidRDefault="001D620A" w:rsidP="00C1147B">
      <w:pPr>
        <w:rPr>
          <w:rFonts w:cstheme="minorHAnsi"/>
        </w:rPr>
      </w:pPr>
      <w:r w:rsidRPr="005643FA">
        <w:rPr>
          <w:rFonts w:cstheme="minorHAnsi"/>
        </w:rPr>
        <w:t xml:space="preserve">As a result of the repeal of the </w:t>
      </w:r>
      <w:r w:rsidRPr="005643FA">
        <w:rPr>
          <w:rFonts w:cstheme="minorHAnsi"/>
          <w:i/>
        </w:rPr>
        <w:t xml:space="preserve">Child and Family Services Act </w:t>
      </w:r>
      <w:r w:rsidRPr="005643FA">
        <w:rPr>
          <w:rFonts w:cstheme="minorHAnsi"/>
        </w:rPr>
        <w:t xml:space="preserve">and the enactment of the </w:t>
      </w:r>
      <w:r w:rsidRPr="005643FA">
        <w:rPr>
          <w:rFonts w:cstheme="minorHAnsi"/>
          <w:i/>
        </w:rPr>
        <w:t>Child, Youth and Family Services Act, 2017</w:t>
      </w:r>
      <w:r w:rsidRPr="005643FA">
        <w:rPr>
          <w:rFonts w:cstheme="minorHAnsi"/>
        </w:rPr>
        <w:t>, consequential amendments are proposed to 2</w:t>
      </w:r>
      <w:r w:rsidR="00DB4E30" w:rsidRPr="005643FA">
        <w:rPr>
          <w:rFonts w:cstheme="minorHAnsi"/>
        </w:rPr>
        <w:t>5</w:t>
      </w:r>
      <w:r w:rsidRPr="005643FA">
        <w:rPr>
          <w:rFonts w:cstheme="minorHAnsi"/>
        </w:rPr>
        <w:t xml:space="preserve"> regulations under other statutes.  No changes to the scope of the application of the statute or regulation would result from </w:t>
      </w:r>
      <w:r w:rsidR="003B3F6F" w:rsidRPr="005643FA">
        <w:rPr>
          <w:rFonts w:cstheme="minorHAnsi"/>
        </w:rPr>
        <w:t xml:space="preserve">most of </w:t>
      </w:r>
      <w:r w:rsidRPr="005643FA">
        <w:rPr>
          <w:rFonts w:cstheme="minorHAnsi"/>
        </w:rPr>
        <w:t>these proposed consequential amendm</w:t>
      </w:r>
      <w:r w:rsidR="008B5286" w:rsidRPr="005643FA">
        <w:rPr>
          <w:rFonts w:cstheme="minorHAnsi"/>
        </w:rPr>
        <w:t>ents, except as noted below</w:t>
      </w:r>
      <w:r w:rsidR="003B3F6F" w:rsidRPr="005643FA">
        <w:rPr>
          <w:rFonts w:cstheme="minorHAnsi"/>
        </w:rPr>
        <w:t xml:space="preserve">. </w:t>
      </w:r>
    </w:p>
    <w:p w:rsidR="00F152CE" w:rsidRPr="005643FA" w:rsidRDefault="00F152CE" w:rsidP="00C1147B">
      <w:pPr>
        <w:rPr>
          <w:rFonts w:cstheme="minorHAnsi"/>
          <w:b/>
        </w:rPr>
      </w:pPr>
      <w:r w:rsidRPr="005643FA">
        <w:rPr>
          <w:rFonts w:cstheme="minorHAnsi"/>
          <w:b/>
        </w:rPr>
        <w:t>CHANGES TO NAME OF ACT ONLY</w:t>
      </w:r>
    </w:p>
    <w:p w:rsidR="00C1147B" w:rsidRPr="005643FA" w:rsidRDefault="00C1147B" w:rsidP="00C1147B">
      <w:pPr>
        <w:rPr>
          <w:rFonts w:cstheme="minorHAnsi"/>
        </w:rPr>
      </w:pPr>
      <w:r w:rsidRPr="005643FA">
        <w:rPr>
          <w:rFonts w:cstheme="minorHAnsi"/>
        </w:rPr>
        <w:t xml:space="preserve">Consequential amendments are proposed to the following regulations </w:t>
      </w:r>
      <w:r w:rsidRPr="005643FA">
        <w:rPr>
          <w:rFonts w:cstheme="minorHAnsi"/>
          <w:lang w:val="en-GB"/>
        </w:rPr>
        <w:t xml:space="preserve">to update the reference from the </w:t>
      </w:r>
      <w:r w:rsidRPr="005643FA">
        <w:rPr>
          <w:rFonts w:cstheme="minorHAnsi"/>
          <w:i/>
          <w:iCs/>
          <w:lang w:val="en-GB"/>
        </w:rPr>
        <w:t xml:space="preserve">Child and Family Services Act </w:t>
      </w:r>
      <w:r w:rsidRPr="005643FA">
        <w:rPr>
          <w:rFonts w:cstheme="minorHAnsi"/>
          <w:lang w:val="en-GB"/>
        </w:rPr>
        <w:t xml:space="preserve">to the </w:t>
      </w:r>
      <w:r w:rsidRPr="005643FA">
        <w:rPr>
          <w:rFonts w:cstheme="minorHAnsi"/>
          <w:i/>
          <w:iCs/>
          <w:lang w:val="en-GB"/>
        </w:rPr>
        <w:t xml:space="preserve">Child, Youth and Family Services Act, 2017 </w:t>
      </w:r>
      <w:r w:rsidRPr="005643FA">
        <w:rPr>
          <w:rFonts w:cstheme="minorHAnsi"/>
          <w:iCs/>
          <w:lang w:val="en-GB"/>
        </w:rPr>
        <w:t>only</w:t>
      </w:r>
      <w:r w:rsidR="001D620A" w:rsidRPr="005643FA">
        <w:rPr>
          <w:rFonts w:cstheme="minorHAnsi"/>
          <w:iCs/>
          <w:lang w:val="en-GB"/>
        </w:rPr>
        <w:t>:</w:t>
      </w:r>
      <w:r w:rsidRPr="005643FA">
        <w:rPr>
          <w:rFonts w:cstheme="minorHAnsi"/>
          <w:iCs/>
          <w:lang w:val="en-GB"/>
        </w:rPr>
        <w:t xml:space="preserve"> </w:t>
      </w:r>
    </w:p>
    <w:p w:rsidR="00C1147B" w:rsidRPr="005643FA" w:rsidRDefault="00B033DB" w:rsidP="00C1147B">
      <w:pPr>
        <w:numPr>
          <w:ilvl w:val="0"/>
          <w:numId w:val="1"/>
        </w:numPr>
        <w:contextualSpacing/>
        <w:rPr>
          <w:rFonts w:cstheme="minorHAnsi"/>
        </w:rPr>
      </w:pPr>
      <w:r w:rsidRPr="005643FA">
        <w:rPr>
          <w:rFonts w:cstheme="minorHAnsi"/>
        </w:rPr>
        <w:t xml:space="preserve">O </w:t>
      </w:r>
      <w:proofErr w:type="spellStart"/>
      <w:r w:rsidRPr="005643FA">
        <w:rPr>
          <w:rFonts w:cstheme="minorHAnsi"/>
        </w:rPr>
        <w:t>Reg</w:t>
      </w:r>
      <w:proofErr w:type="spellEnd"/>
      <w:r w:rsidR="00A17274" w:rsidRPr="005643FA">
        <w:rPr>
          <w:rFonts w:cstheme="minorHAnsi"/>
        </w:rPr>
        <w:t xml:space="preserve"> </w:t>
      </w:r>
      <w:r w:rsidR="00C1147B" w:rsidRPr="005643FA">
        <w:rPr>
          <w:rFonts w:cstheme="minorHAnsi"/>
        </w:rPr>
        <w:t xml:space="preserve">107/96, </w:t>
      </w:r>
      <w:r w:rsidR="00CA5F36" w:rsidRPr="005643FA">
        <w:rPr>
          <w:rFonts w:cstheme="minorHAnsi"/>
        </w:rPr>
        <w:t>(</w:t>
      </w:r>
      <w:r w:rsidR="00C1147B" w:rsidRPr="005643FA">
        <w:rPr>
          <w:rFonts w:cstheme="minorHAnsi"/>
        </w:rPr>
        <w:t>Controlled Acts</w:t>
      </w:r>
      <w:r w:rsidR="00CA5F36" w:rsidRPr="005643FA">
        <w:rPr>
          <w:rFonts w:cstheme="minorHAnsi"/>
        </w:rPr>
        <w:t>)</w:t>
      </w:r>
      <w:r w:rsidR="00C1147B" w:rsidRPr="005643FA">
        <w:rPr>
          <w:rFonts w:cstheme="minorHAnsi"/>
        </w:rPr>
        <w:t xml:space="preserve"> under the </w:t>
      </w:r>
      <w:r w:rsidR="00C1147B" w:rsidRPr="005643FA">
        <w:rPr>
          <w:rFonts w:cstheme="minorHAnsi"/>
          <w:bCs/>
          <w:i/>
          <w:lang w:val="en-US"/>
        </w:rPr>
        <w:t>Regulated Health Professions Act, 1991</w:t>
      </w:r>
      <w:r w:rsidR="00C1147B" w:rsidRPr="005643FA">
        <w:rPr>
          <w:rFonts w:cstheme="minorHAnsi"/>
          <w:b/>
          <w:bCs/>
          <w:i/>
          <w:lang w:val="en-US"/>
        </w:rPr>
        <w:t> </w:t>
      </w:r>
    </w:p>
    <w:p w:rsidR="00C1147B" w:rsidRPr="005643FA" w:rsidRDefault="00B033DB" w:rsidP="00C1147B">
      <w:pPr>
        <w:numPr>
          <w:ilvl w:val="0"/>
          <w:numId w:val="1"/>
        </w:numPr>
        <w:contextualSpacing/>
        <w:rPr>
          <w:rFonts w:cstheme="minorHAnsi"/>
        </w:rPr>
      </w:pPr>
      <w:r w:rsidRPr="005643FA">
        <w:rPr>
          <w:rFonts w:cstheme="minorHAnsi"/>
        </w:rPr>
        <w:t xml:space="preserve">O </w:t>
      </w:r>
      <w:proofErr w:type="spellStart"/>
      <w:r w:rsidRPr="005643FA">
        <w:rPr>
          <w:rFonts w:cstheme="minorHAnsi"/>
        </w:rPr>
        <w:t>Reg</w:t>
      </w:r>
      <w:proofErr w:type="spellEnd"/>
      <w:r w:rsidR="00A17274" w:rsidRPr="005643FA">
        <w:rPr>
          <w:rFonts w:cstheme="minorHAnsi"/>
        </w:rPr>
        <w:t xml:space="preserve"> </w:t>
      </w:r>
      <w:r w:rsidR="00C1147B" w:rsidRPr="005643FA">
        <w:rPr>
          <w:rFonts w:cstheme="minorHAnsi"/>
        </w:rPr>
        <w:t xml:space="preserve">417/95, </w:t>
      </w:r>
      <w:r w:rsidR="00CA5F36" w:rsidRPr="005643FA">
        <w:rPr>
          <w:rFonts w:cstheme="minorHAnsi"/>
        </w:rPr>
        <w:t>(</w:t>
      </w:r>
      <w:r w:rsidR="00C1147B" w:rsidRPr="005643FA">
        <w:rPr>
          <w:rFonts w:cstheme="minorHAnsi"/>
        </w:rPr>
        <w:t xml:space="preserve">Superior Court of Justice – Family Court </w:t>
      </w:r>
      <w:r w:rsidR="00CA5F36" w:rsidRPr="005643FA">
        <w:rPr>
          <w:rFonts w:cstheme="minorHAnsi"/>
        </w:rPr>
        <w:t>–</w:t>
      </w:r>
      <w:r w:rsidR="00C1147B" w:rsidRPr="005643FA">
        <w:rPr>
          <w:rFonts w:cstheme="minorHAnsi"/>
        </w:rPr>
        <w:t xml:space="preserve"> Fees</w:t>
      </w:r>
      <w:r w:rsidR="00CA5F36" w:rsidRPr="005643FA">
        <w:rPr>
          <w:rFonts w:cstheme="minorHAnsi"/>
        </w:rPr>
        <w:t>)</w:t>
      </w:r>
      <w:r w:rsidR="00C1147B" w:rsidRPr="005643FA">
        <w:rPr>
          <w:rFonts w:cstheme="minorHAnsi"/>
        </w:rPr>
        <w:t xml:space="preserve"> under the </w:t>
      </w:r>
      <w:r w:rsidR="00C1147B" w:rsidRPr="005643FA">
        <w:rPr>
          <w:rFonts w:cstheme="minorHAnsi"/>
          <w:bCs/>
          <w:i/>
          <w:iCs/>
          <w:lang w:val="en-US"/>
        </w:rPr>
        <w:t>Administration of Justice Act</w:t>
      </w:r>
    </w:p>
    <w:p w:rsidR="00C1147B" w:rsidRPr="005643FA" w:rsidRDefault="00B033DB" w:rsidP="00C1147B">
      <w:pPr>
        <w:numPr>
          <w:ilvl w:val="0"/>
          <w:numId w:val="1"/>
        </w:numPr>
        <w:contextualSpacing/>
        <w:rPr>
          <w:rFonts w:cstheme="minorHAnsi"/>
        </w:rPr>
      </w:pPr>
      <w:r w:rsidRPr="005643FA">
        <w:rPr>
          <w:rFonts w:cstheme="minorHAnsi"/>
        </w:rPr>
        <w:t xml:space="preserve">O </w:t>
      </w:r>
      <w:proofErr w:type="spellStart"/>
      <w:r w:rsidRPr="005643FA">
        <w:rPr>
          <w:rFonts w:cstheme="minorHAnsi"/>
        </w:rPr>
        <w:t>Reg</w:t>
      </w:r>
      <w:proofErr w:type="spellEnd"/>
      <w:r w:rsidR="00A17274" w:rsidRPr="005643FA">
        <w:rPr>
          <w:rFonts w:cstheme="minorHAnsi"/>
        </w:rPr>
        <w:t xml:space="preserve"> </w:t>
      </w:r>
      <w:r w:rsidR="00C1147B" w:rsidRPr="005643FA">
        <w:rPr>
          <w:rFonts w:cstheme="minorHAnsi"/>
        </w:rPr>
        <w:t xml:space="preserve">378/07, </w:t>
      </w:r>
      <w:r w:rsidR="00CA5F36" w:rsidRPr="005643FA">
        <w:rPr>
          <w:rFonts w:cstheme="minorHAnsi"/>
        </w:rPr>
        <w:t>(</w:t>
      </w:r>
      <w:r w:rsidR="00C1147B" w:rsidRPr="005643FA">
        <w:rPr>
          <w:rFonts w:cstheme="minorHAnsi"/>
        </w:rPr>
        <w:t>Public Service Grievance Board: Complaints and Hearings</w:t>
      </w:r>
      <w:r w:rsidR="00CA5F36" w:rsidRPr="005643FA">
        <w:rPr>
          <w:rFonts w:cstheme="minorHAnsi"/>
        </w:rPr>
        <w:t>)</w:t>
      </w:r>
      <w:r w:rsidR="00C1147B" w:rsidRPr="005643FA">
        <w:rPr>
          <w:rFonts w:cstheme="minorHAnsi"/>
        </w:rPr>
        <w:t xml:space="preserve"> under the </w:t>
      </w:r>
      <w:r w:rsidR="00C1147B" w:rsidRPr="005643FA">
        <w:rPr>
          <w:rFonts w:cstheme="minorHAnsi"/>
          <w:i/>
          <w:iCs/>
          <w:lang w:val="en-US"/>
        </w:rPr>
        <w:t>Public Service of Ontario Act, 2006</w:t>
      </w:r>
      <w:r w:rsidR="00167DF6" w:rsidRPr="005643FA">
        <w:rPr>
          <w:rFonts w:cstheme="minorHAnsi"/>
          <w:i/>
          <w:iCs/>
          <w:lang w:val="en-US"/>
        </w:rPr>
        <w:t xml:space="preserve"> </w:t>
      </w:r>
    </w:p>
    <w:p w:rsidR="00C1147B" w:rsidRPr="005643FA" w:rsidRDefault="00B033DB" w:rsidP="00C1147B">
      <w:pPr>
        <w:numPr>
          <w:ilvl w:val="0"/>
          <w:numId w:val="1"/>
        </w:numPr>
        <w:contextualSpacing/>
        <w:rPr>
          <w:rFonts w:cstheme="minorHAnsi"/>
        </w:rPr>
      </w:pPr>
      <w:r w:rsidRPr="005643FA">
        <w:rPr>
          <w:rFonts w:cstheme="minorHAnsi"/>
        </w:rPr>
        <w:t xml:space="preserve">O </w:t>
      </w:r>
      <w:proofErr w:type="spellStart"/>
      <w:r w:rsidRPr="005643FA">
        <w:rPr>
          <w:rFonts w:cstheme="minorHAnsi"/>
        </w:rPr>
        <w:t>Reg</w:t>
      </w:r>
      <w:proofErr w:type="spellEnd"/>
      <w:r w:rsidR="00A17274" w:rsidRPr="005643FA">
        <w:rPr>
          <w:rFonts w:cstheme="minorHAnsi"/>
        </w:rPr>
        <w:t xml:space="preserve"> </w:t>
      </w:r>
      <w:r w:rsidR="00C1147B" w:rsidRPr="005643FA">
        <w:rPr>
          <w:rFonts w:cstheme="minorHAnsi"/>
        </w:rPr>
        <w:t xml:space="preserve">599/06, </w:t>
      </w:r>
      <w:r w:rsidR="00CA5F36" w:rsidRPr="005643FA">
        <w:rPr>
          <w:rFonts w:cstheme="minorHAnsi"/>
        </w:rPr>
        <w:t>(</w:t>
      </w:r>
      <w:r w:rsidR="00C1147B" w:rsidRPr="005643FA">
        <w:rPr>
          <w:rFonts w:cstheme="minorHAnsi"/>
        </w:rPr>
        <w:t>Municipal Services Corporations</w:t>
      </w:r>
      <w:r w:rsidR="00CA5F36" w:rsidRPr="005643FA">
        <w:rPr>
          <w:rFonts w:cstheme="minorHAnsi"/>
        </w:rPr>
        <w:t>)</w:t>
      </w:r>
      <w:r w:rsidR="00C1147B" w:rsidRPr="005643FA">
        <w:rPr>
          <w:rFonts w:cstheme="minorHAnsi"/>
        </w:rPr>
        <w:t xml:space="preserve"> under the </w:t>
      </w:r>
      <w:r w:rsidR="00C1147B" w:rsidRPr="005643FA">
        <w:rPr>
          <w:rFonts w:cstheme="minorHAnsi"/>
          <w:i/>
          <w:iCs/>
          <w:lang w:val="en-US"/>
        </w:rPr>
        <w:t>Municipal Act, 2001</w:t>
      </w:r>
    </w:p>
    <w:p w:rsidR="00E56329" w:rsidRPr="005643FA" w:rsidRDefault="00B033DB" w:rsidP="00FB2D8B">
      <w:pPr>
        <w:numPr>
          <w:ilvl w:val="0"/>
          <w:numId w:val="1"/>
        </w:numPr>
        <w:contextualSpacing/>
        <w:rPr>
          <w:rFonts w:cstheme="minorHAnsi"/>
        </w:rPr>
      </w:pPr>
      <w:r w:rsidRPr="005643FA">
        <w:rPr>
          <w:rFonts w:cstheme="minorHAnsi"/>
        </w:rPr>
        <w:t xml:space="preserve">O </w:t>
      </w:r>
      <w:proofErr w:type="spellStart"/>
      <w:r w:rsidRPr="005643FA">
        <w:rPr>
          <w:rFonts w:cstheme="minorHAnsi"/>
        </w:rPr>
        <w:t>Reg</w:t>
      </w:r>
      <w:proofErr w:type="spellEnd"/>
      <w:r w:rsidR="00A17274" w:rsidRPr="005643FA">
        <w:rPr>
          <w:rFonts w:cstheme="minorHAnsi"/>
        </w:rPr>
        <w:t xml:space="preserve"> </w:t>
      </w:r>
      <w:r w:rsidR="00C1147B" w:rsidRPr="005643FA">
        <w:rPr>
          <w:rFonts w:cstheme="minorHAnsi"/>
        </w:rPr>
        <w:t xml:space="preserve">609/06, </w:t>
      </w:r>
      <w:r w:rsidR="00CA5F36" w:rsidRPr="005643FA">
        <w:rPr>
          <w:rFonts w:cstheme="minorHAnsi"/>
        </w:rPr>
        <w:t>(</w:t>
      </w:r>
      <w:r w:rsidR="00C1147B" w:rsidRPr="005643FA">
        <w:rPr>
          <w:rFonts w:cstheme="minorHAnsi"/>
        </w:rPr>
        <w:t>City Services Corporations</w:t>
      </w:r>
      <w:r w:rsidR="00CA5F36" w:rsidRPr="005643FA">
        <w:rPr>
          <w:rFonts w:cstheme="minorHAnsi"/>
        </w:rPr>
        <w:t>)</w:t>
      </w:r>
      <w:r w:rsidR="00C1147B" w:rsidRPr="005643FA">
        <w:rPr>
          <w:rFonts w:cstheme="minorHAnsi"/>
        </w:rPr>
        <w:t xml:space="preserve"> under the </w:t>
      </w:r>
      <w:r w:rsidR="00C1147B" w:rsidRPr="005643FA">
        <w:rPr>
          <w:rFonts w:cstheme="minorHAnsi"/>
          <w:i/>
          <w:iCs/>
          <w:lang w:val="en-US"/>
        </w:rPr>
        <w:t>City of Toronto Act, 2006</w:t>
      </w:r>
    </w:p>
    <w:p w:rsidR="00E56329" w:rsidRPr="005643FA" w:rsidRDefault="00B033DB" w:rsidP="00E56329">
      <w:pPr>
        <w:numPr>
          <w:ilvl w:val="0"/>
          <w:numId w:val="1"/>
        </w:numPr>
        <w:contextualSpacing/>
        <w:rPr>
          <w:rFonts w:cstheme="minorHAnsi"/>
        </w:rPr>
      </w:pPr>
      <w:r w:rsidRPr="005643FA">
        <w:rPr>
          <w:rFonts w:cstheme="minorHAnsi"/>
        </w:rPr>
        <w:t xml:space="preserve">O </w:t>
      </w:r>
      <w:proofErr w:type="spellStart"/>
      <w:r w:rsidRPr="005643FA">
        <w:rPr>
          <w:rFonts w:cstheme="minorHAnsi"/>
        </w:rPr>
        <w:t>Reg</w:t>
      </w:r>
      <w:proofErr w:type="spellEnd"/>
      <w:r w:rsidR="00E56329" w:rsidRPr="005643FA">
        <w:rPr>
          <w:rFonts w:cstheme="minorHAnsi"/>
        </w:rPr>
        <w:t xml:space="preserve"> 449/07, </w:t>
      </w:r>
      <w:r w:rsidR="00CA5F36" w:rsidRPr="005643FA">
        <w:rPr>
          <w:rFonts w:cstheme="minorHAnsi"/>
        </w:rPr>
        <w:t>(</w:t>
      </w:r>
      <w:r w:rsidR="00E56329" w:rsidRPr="005643FA">
        <w:rPr>
          <w:rFonts w:cstheme="minorHAnsi"/>
        </w:rPr>
        <w:t>General</w:t>
      </w:r>
      <w:r w:rsidR="00CA5F36" w:rsidRPr="005643FA">
        <w:rPr>
          <w:rFonts w:cstheme="minorHAnsi"/>
        </w:rPr>
        <w:t>)</w:t>
      </w:r>
      <w:r w:rsidR="00E56329" w:rsidRPr="005643FA">
        <w:rPr>
          <w:rFonts w:cstheme="minorHAnsi"/>
        </w:rPr>
        <w:t xml:space="preserve"> under the </w:t>
      </w:r>
      <w:r w:rsidR="00E56329" w:rsidRPr="005643FA">
        <w:rPr>
          <w:rFonts w:cstheme="minorHAnsi"/>
          <w:i/>
        </w:rPr>
        <w:t>Mandatory Blood Testing Act, 2006</w:t>
      </w:r>
      <w:r w:rsidR="00E56329" w:rsidRPr="005643FA">
        <w:rPr>
          <w:rFonts w:cstheme="minorHAnsi"/>
        </w:rPr>
        <w:t xml:space="preserve"> </w:t>
      </w:r>
    </w:p>
    <w:p w:rsidR="00C1147B" w:rsidRPr="005643FA" w:rsidRDefault="00C1147B" w:rsidP="00C1147B">
      <w:pPr>
        <w:spacing w:after="0"/>
        <w:rPr>
          <w:rFonts w:cstheme="minorHAnsi"/>
        </w:rPr>
      </w:pPr>
    </w:p>
    <w:p w:rsidR="00F152CE" w:rsidRPr="005643FA" w:rsidRDefault="00F152CE" w:rsidP="00C1147B">
      <w:pPr>
        <w:spacing w:after="0"/>
        <w:rPr>
          <w:rFonts w:cstheme="minorHAnsi"/>
          <w:b/>
        </w:rPr>
      </w:pPr>
      <w:r w:rsidRPr="005643FA">
        <w:rPr>
          <w:rFonts w:cstheme="minorHAnsi"/>
          <w:b/>
        </w:rPr>
        <w:t>CHANGES TO NAME OF ACT, NAME OF PARTS, AND NUMBERING</w:t>
      </w:r>
    </w:p>
    <w:p w:rsidR="00F152CE" w:rsidRPr="005643FA" w:rsidRDefault="00F152CE" w:rsidP="00C1147B">
      <w:pPr>
        <w:spacing w:after="0"/>
        <w:rPr>
          <w:rFonts w:cstheme="minorHAnsi"/>
        </w:rPr>
      </w:pPr>
    </w:p>
    <w:p w:rsidR="00C1147B" w:rsidRPr="005643FA" w:rsidRDefault="00C1147B" w:rsidP="00C1147B">
      <w:pPr>
        <w:rPr>
          <w:rFonts w:cstheme="minorHAnsi"/>
        </w:rPr>
      </w:pPr>
      <w:r w:rsidRPr="005643FA">
        <w:rPr>
          <w:rFonts w:cstheme="minorHAnsi"/>
        </w:rPr>
        <w:t xml:space="preserve">Consequential amendments are proposed to the following regulations </w:t>
      </w:r>
      <w:r w:rsidRPr="005643FA">
        <w:rPr>
          <w:rFonts w:cstheme="minorHAnsi"/>
          <w:lang w:val="en-GB"/>
        </w:rPr>
        <w:t xml:space="preserve">to update the reference from the </w:t>
      </w:r>
      <w:r w:rsidRPr="005643FA">
        <w:rPr>
          <w:rFonts w:cstheme="minorHAnsi"/>
          <w:i/>
          <w:iCs/>
          <w:lang w:val="en-GB"/>
        </w:rPr>
        <w:t xml:space="preserve">Child and Family Services Act </w:t>
      </w:r>
      <w:r w:rsidRPr="005643FA">
        <w:rPr>
          <w:rFonts w:cstheme="minorHAnsi"/>
          <w:lang w:val="en-GB"/>
        </w:rPr>
        <w:t xml:space="preserve">to the </w:t>
      </w:r>
      <w:r w:rsidRPr="005643FA">
        <w:rPr>
          <w:rFonts w:cstheme="minorHAnsi"/>
          <w:i/>
          <w:iCs/>
          <w:lang w:val="en-GB"/>
        </w:rPr>
        <w:t>Child, Youth and Family Services Act, 2017</w:t>
      </w:r>
      <w:r w:rsidR="003B3F6F" w:rsidRPr="005643FA">
        <w:rPr>
          <w:rFonts w:cstheme="minorHAnsi"/>
          <w:iCs/>
          <w:lang w:val="en-GB"/>
        </w:rPr>
        <w:t xml:space="preserve"> </w:t>
      </w:r>
      <w:r w:rsidRPr="005643FA">
        <w:rPr>
          <w:rFonts w:cstheme="minorHAnsi"/>
          <w:iCs/>
          <w:lang w:val="en-GB"/>
        </w:rPr>
        <w:t>and references to</w:t>
      </w:r>
      <w:r w:rsidR="003B3F6F" w:rsidRPr="005643FA">
        <w:rPr>
          <w:rFonts w:cstheme="minorHAnsi"/>
          <w:iCs/>
          <w:lang w:val="en-GB"/>
        </w:rPr>
        <w:t xml:space="preserve"> numbered</w:t>
      </w:r>
      <w:r w:rsidRPr="005643FA">
        <w:rPr>
          <w:rFonts w:cstheme="minorHAnsi"/>
          <w:iCs/>
          <w:lang w:val="en-GB"/>
        </w:rPr>
        <w:t xml:space="preserve"> provisions</w:t>
      </w:r>
      <w:r w:rsidR="003B3F6F" w:rsidRPr="005643FA">
        <w:rPr>
          <w:rFonts w:cstheme="minorHAnsi"/>
          <w:iCs/>
          <w:lang w:val="en-GB"/>
        </w:rPr>
        <w:t xml:space="preserve"> and/or Parts</w:t>
      </w:r>
      <w:r w:rsidR="00E30B9D" w:rsidRPr="005643FA">
        <w:rPr>
          <w:rFonts w:cstheme="minorHAnsi"/>
          <w:iCs/>
          <w:lang w:val="en-GB"/>
        </w:rPr>
        <w:t>:</w:t>
      </w:r>
      <w:r w:rsidRPr="005643FA">
        <w:rPr>
          <w:rFonts w:cstheme="minorHAnsi"/>
          <w:iCs/>
          <w:lang w:val="en-GB"/>
        </w:rPr>
        <w:t xml:space="preserve"> </w:t>
      </w:r>
    </w:p>
    <w:p w:rsidR="00C1147B" w:rsidRPr="005643FA" w:rsidRDefault="00B033DB" w:rsidP="00C1147B">
      <w:pPr>
        <w:numPr>
          <w:ilvl w:val="0"/>
          <w:numId w:val="1"/>
        </w:numPr>
        <w:contextualSpacing/>
        <w:rPr>
          <w:rFonts w:cstheme="minorHAnsi"/>
        </w:rPr>
      </w:pPr>
      <w:r w:rsidRPr="005643FA">
        <w:rPr>
          <w:rFonts w:cstheme="minorHAnsi"/>
        </w:rPr>
        <w:t xml:space="preserve">O </w:t>
      </w:r>
      <w:proofErr w:type="spellStart"/>
      <w:r w:rsidRPr="005643FA">
        <w:rPr>
          <w:rFonts w:cstheme="minorHAnsi"/>
        </w:rPr>
        <w:t>Reg</w:t>
      </w:r>
      <w:proofErr w:type="spellEnd"/>
      <w:r w:rsidR="00A17274" w:rsidRPr="005643FA">
        <w:rPr>
          <w:rFonts w:cstheme="minorHAnsi"/>
        </w:rPr>
        <w:t xml:space="preserve"> </w:t>
      </w:r>
      <w:r w:rsidR="00C1147B" w:rsidRPr="005643FA">
        <w:rPr>
          <w:rFonts w:cstheme="minorHAnsi"/>
        </w:rPr>
        <w:t>329/04</w:t>
      </w:r>
      <w:r w:rsidR="007742E5" w:rsidRPr="005643FA">
        <w:rPr>
          <w:rFonts w:cstheme="minorHAnsi"/>
        </w:rPr>
        <w:t>,</w:t>
      </w:r>
      <w:r w:rsidR="00C1147B" w:rsidRPr="005643FA">
        <w:rPr>
          <w:rFonts w:cstheme="minorHAnsi"/>
        </w:rPr>
        <w:t xml:space="preserve"> </w:t>
      </w:r>
      <w:r w:rsidR="005E5E39" w:rsidRPr="005643FA">
        <w:rPr>
          <w:rFonts w:cstheme="minorHAnsi"/>
        </w:rPr>
        <w:t>(</w:t>
      </w:r>
      <w:r w:rsidR="00C1147B" w:rsidRPr="005643FA">
        <w:rPr>
          <w:rFonts w:cstheme="minorHAnsi"/>
        </w:rPr>
        <w:t>General</w:t>
      </w:r>
      <w:r w:rsidR="005E5E39" w:rsidRPr="005643FA">
        <w:rPr>
          <w:rFonts w:cstheme="minorHAnsi"/>
        </w:rPr>
        <w:t>)</w:t>
      </w:r>
      <w:r w:rsidR="00C1147B" w:rsidRPr="005643FA">
        <w:rPr>
          <w:rFonts w:cstheme="minorHAnsi"/>
        </w:rPr>
        <w:t xml:space="preserve"> under the</w:t>
      </w:r>
      <w:r w:rsidR="00C1147B" w:rsidRPr="005643FA">
        <w:rPr>
          <w:rFonts w:eastAsia="Times New Roman" w:cstheme="minorHAnsi"/>
          <w:b/>
          <w:i/>
          <w:lang w:val="en-US"/>
        </w:rPr>
        <w:t xml:space="preserve"> </w:t>
      </w:r>
      <w:r w:rsidR="00C1147B" w:rsidRPr="005643FA">
        <w:rPr>
          <w:rFonts w:cstheme="minorHAnsi"/>
          <w:i/>
          <w:lang w:val="en-US"/>
        </w:rPr>
        <w:t>Personal Health Information Protection Act, 2004</w:t>
      </w:r>
    </w:p>
    <w:p w:rsidR="00C1147B" w:rsidRPr="005643FA" w:rsidRDefault="00B033DB" w:rsidP="00C1147B">
      <w:pPr>
        <w:numPr>
          <w:ilvl w:val="0"/>
          <w:numId w:val="1"/>
        </w:numPr>
        <w:contextualSpacing/>
        <w:rPr>
          <w:rFonts w:cstheme="minorHAnsi"/>
        </w:rPr>
      </w:pPr>
      <w:r w:rsidRPr="005643FA">
        <w:rPr>
          <w:rFonts w:cstheme="minorHAnsi"/>
        </w:rPr>
        <w:t xml:space="preserve">O </w:t>
      </w:r>
      <w:proofErr w:type="spellStart"/>
      <w:r w:rsidRPr="005643FA">
        <w:rPr>
          <w:rFonts w:cstheme="minorHAnsi"/>
        </w:rPr>
        <w:t>Reg</w:t>
      </w:r>
      <w:proofErr w:type="spellEnd"/>
      <w:r w:rsidR="00A17274" w:rsidRPr="005643FA">
        <w:rPr>
          <w:rFonts w:cstheme="minorHAnsi"/>
        </w:rPr>
        <w:t xml:space="preserve"> </w:t>
      </w:r>
      <w:r w:rsidR="00C1147B" w:rsidRPr="005643FA">
        <w:rPr>
          <w:rFonts w:cstheme="minorHAnsi"/>
        </w:rPr>
        <w:t xml:space="preserve">114/15, </w:t>
      </w:r>
      <w:r w:rsidR="005E5E39" w:rsidRPr="005643FA">
        <w:rPr>
          <w:rFonts w:cstheme="minorHAnsi"/>
        </w:rPr>
        <w:t>(</w:t>
      </w:r>
      <w:r w:rsidR="00C1147B" w:rsidRPr="005643FA">
        <w:rPr>
          <w:rFonts w:cstheme="minorHAnsi"/>
        </w:rPr>
        <w:t>Local Boards</w:t>
      </w:r>
      <w:r w:rsidR="006326C1">
        <w:rPr>
          <w:rFonts w:cstheme="minorHAnsi"/>
        </w:rPr>
        <w:t>)</w:t>
      </w:r>
      <w:r w:rsidR="00C1147B" w:rsidRPr="005643FA">
        <w:rPr>
          <w:rFonts w:cstheme="minorHAnsi"/>
        </w:rPr>
        <w:t xml:space="preserve"> under the </w:t>
      </w:r>
      <w:r w:rsidR="00C1147B" w:rsidRPr="005643FA">
        <w:rPr>
          <w:rFonts w:cstheme="minorHAnsi"/>
          <w:i/>
          <w:iCs/>
          <w:lang w:val="en-US"/>
        </w:rPr>
        <w:t>Ombudsman Act</w:t>
      </w:r>
    </w:p>
    <w:p w:rsidR="00C1147B" w:rsidRPr="005643FA" w:rsidRDefault="00B033DB" w:rsidP="00C1147B">
      <w:pPr>
        <w:numPr>
          <w:ilvl w:val="0"/>
          <w:numId w:val="1"/>
        </w:numPr>
        <w:contextualSpacing/>
        <w:rPr>
          <w:rFonts w:cstheme="minorHAnsi"/>
        </w:rPr>
      </w:pPr>
      <w:r w:rsidRPr="005643FA">
        <w:rPr>
          <w:rFonts w:cstheme="minorHAnsi"/>
        </w:rPr>
        <w:t xml:space="preserve">O </w:t>
      </w:r>
      <w:proofErr w:type="spellStart"/>
      <w:r w:rsidRPr="005643FA">
        <w:rPr>
          <w:rFonts w:cstheme="minorHAnsi"/>
        </w:rPr>
        <w:t>Reg</w:t>
      </w:r>
      <w:proofErr w:type="spellEnd"/>
      <w:r w:rsidR="00A17274" w:rsidRPr="005643FA">
        <w:rPr>
          <w:rFonts w:cstheme="minorHAnsi"/>
        </w:rPr>
        <w:t xml:space="preserve"> </w:t>
      </w:r>
      <w:r w:rsidR="00C1147B" w:rsidRPr="005643FA">
        <w:rPr>
          <w:rFonts w:cstheme="minorHAnsi"/>
        </w:rPr>
        <w:t xml:space="preserve">472/07, </w:t>
      </w:r>
      <w:r w:rsidR="005E5E39" w:rsidRPr="005643FA">
        <w:rPr>
          <w:rFonts w:cstheme="minorHAnsi"/>
        </w:rPr>
        <w:t>(</w:t>
      </w:r>
      <w:r w:rsidR="00C1147B" w:rsidRPr="005643FA">
        <w:rPr>
          <w:rFonts w:cstheme="minorHAnsi"/>
        </w:rPr>
        <w:t>Behaviour, Discipline and Safety of Pupils</w:t>
      </w:r>
      <w:r w:rsidR="005E5E39" w:rsidRPr="005643FA">
        <w:rPr>
          <w:rFonts w:cstheme="minorHAnsi"/>
        </w:rPr>
        <w:t>)</w:t>
      </w:r>
      <w:r w:rsidR="00C1147B" w:rsidRPr="005643FA">
        <w:rPr>
          <w:rFonts w:cstheme="minorHAnsi"/>
        </w:rPr>
        <w:t xml:space="preserve"> under the </w:t>
      </w:r>
      <w:r w:rsidR="00C1147B" w:rsidRPr="005643FA">
        <w:rPr>
          <w:rFonts w:cstheme="minorHAnsi"/>
          <w:bCs/>
          <w:i/>
          <w:lang w:val="en-US"/>
        </w:rPr>
        <w:t>Education Act</w:t>
      </w:r>
    </w:p>
    <w:p w:rsidR="00C1147B" w:rsidRPr="005643FA" w:rsidRDefault="00B033DB" w:rsidP="00C1147B">
      <w:pPr>
        <w:numPr>
          <w:ilvl w:val="0"/>
          <w:numId w:val="1"/>
        </w:numPr>
        <w:contextualSpacing/>
        <w:rPr>
          <w:rFonts w:cstheme="minorHAnsi"/>
        </w:rPr>
      </w:pPr>
      <w:r w:rsidRPr="005643FA">
        <w:rPr>
          <w:rFonts w:cstheme="minorHAnsi"/>
        </w:rPr>
        <w:t xml:space="preserve">O </w:t>
      </w:r>
      <w:proofErr w:type="spellStart"/>
      <w:r w:rsidRPr="005643FA">
        <w:rPr>
          <w:rFonts w:cstheme="minorHAnsi"/>
        </w:rPr>
        <w:t>Reg</w:t>
      </w:r>
      <w:proofErr w:type="spellEnd"/>
      <w:r w:rsidR="00A17274" w:rsidRPr="005643FA">
        <w:rPr>
          <w:rFonts w:cstheme="minorHAnsi"/>
        </w:rPr>
        <w:t xml:space="preserve"> </w:t>
      </w:r>
      <w:r w:rsidR="00C1147B" w:rsidRPr="005643FA">
        <w:rPr>
          <w:rFonts w:cstheme="minorHAnsi"/>
        </w:rPr>
        <w:t xml:space="preserve">210/11, </w:t>
      </w:r>
      <w:r w:rsidR="005E5E39" w:rsidRPr="005643FA">
        <w:rPr>
          <w:rFonts w:cstheme="minorHAnsi"/>
        </w:rPr>
        <w:t>(</w:t>
      </w:r>
      <w:r w:rsidR="00C1147B" w:rsidRPr="005643FA">
        <w:rPr>
          <w:rFonts w:cstheme="minorHAnsi"/>
        </w:rPr>
        <w:t>General</w:t>
      </w:r>
      <w:r w:rsidR="005E5E39" w:rsidRPr="005643FA">
        <w:rPr>
          <w:rFonts w:cstheme="minorHAnsi"/>
        </w:rPr>
        <w:t>)</w:t>
      </w:r>
      <w:r w:rsidR="00C1147B" w:rsidRPr="005643FA">
        <w:rPr>
          <w:rFonts w:cstheme="minorHAnsi"/>
        </w:rPr>
        <w:t xml:space="preserve"> under the </w:t>
      </w:r>
      <w:r w:rsidR="00C1147B" w:rsidRPr="005643FA">
        <w:rPr>
          <w:rFonts w:cstheme="minorHAnsi"/>
          <w:bCs/>
          <w:i/>
          <w:lang w:val="en-US"/>
        </w:rPr>
        <w:t>Ontario Infrastructure and Lands Corporation Act, 2011</w:t>
      </w:r>
    </w:p>
    <w:p w:rsidR="00B27611" w:rsidRPr="005643FA" w:rsidRDefault="00B27611" w:rsidP="00B27611">
      <w:pPr>
        <w:numPr>
          <w:ilvl w:val="0"/>
          <w:numId w:val="1"/>
        </w:numPr>
        <w:contextualSpacing/>
        <w:rPr>
          <w:rFonts w:cstheme="minorHAnsi"/>
        </w:rPr>
      </w:pPr>
      <w:r w:rsidRPr="005643FA">
        <w:rPr>
          <w:rFonts w:cstheme="minorHAnsi"/>
        </w:rPr>
        <w:t xml:space="preserve">RRO </w:t>
      </w:r>
      <w:r w:rsidR="007F7085" w:rsidRPr="005643FA">
        <w:rPr>
          <w:rFonts w:cstheme="minorHAnsi"/>
        </w:rPr>
        <w:t xml:space="preserve">1990, </w:t>
      </w:r>
      <w:proofErr w:type="spellStart"/>
      <w:r w:rsidR="007F7085" w:rsidRPr="005643FA">
        <w:rPr>
          <w:rFonts w:cstheme="minorHAnsi"/>
        </w:rPr>
        <w:t>Reg</w:t>
      </w:r>
      <w:proofErr w:type="spellEnd"/>
      <w:r w:rsidR="00C1147B" w:rsidRPr="005643FA">
        <w:rPr>
          <w:rFonts w:cstheme="minorHAnsi"/>
        </w:rPr>
        <w:t xml:space="preserve"> 552, </w:t>
      </w:r>
      <w:r w:rsidR="005E5E39" w:rsidRPr="005643FA">
        <w:rPr>
          <w:rFonts w:cstheme="minorHAnsi"/>
        </w:rPr>
        <w:t>(</w:t>
      </w:r>
      <w:r w:rsidR="00C1147B" w:rsidRPr="005643FA">
        <w:rPr>
          <w:rFonts w:cstheme="minorHAnsi"/>
        </w:rPr>
        <w:t>General</w:t>
      </w:r>
      <w:r w:rsidR="005E5E39" w:rsidRPr="005643FA">
        <w:rPr>
          <w:rFonts w:cstheme="minorHAnsi"/>
        </w:rPr>
        <w:t>)</w:t>
      </w:r>
      <w:r w:rsidR="00C1147B" w:rsidRPr="005643FA">
        <w:rPr>
          <w:rFonts w:cstheme="minorHAnsi"/>
        </w:rPr>
        <w:t xml:space="preserve"> under the </w:t>
      </w:r>
      <w:r w:rsidR="00C1147B" w:rsidRPr="005643FA">
        <w:rPr>
          <w:rFonts w:cstheme="minorHAnsi"/>
          <w:i/>
          <w:lang w:val="en-US"/>
        </w:rPr>
        <w:t xml:space="preserve">Health Insurance Act </w:t>
      </w:r>
    </w:p>
    <w:p w:rsidR="00E56329" w:rsidRPr="005643FA" w:rsidRDefault="00B27611" w:rsidP="00B27611">
      <w:pPr>
        <w:numPr>
          <w:ilvl w:val="0"/>
          <w:numId w:val="1"/>
        </w:numPr>
        <w:contextualSpacing/>
        <w:rPr>
          <w:rFonts w:cstheme="minorHAnsi"/>
        </w:rPr>
      </w:pPr>
      <w:r w:rsidRPr="005643FA">
        <w:rPr>
          <w:rFonts w:cstheme="minorHAnsi"/>
        </w:rPr>
        <w:t xml:space="preserve">RRO </w:t>
      </w:r>
      <w:r w:rsidR="007F7085" w:rsidRPr="005643FA">
        <w:rPr>
          <w:rFonts w:cstheme="minorHAnsi"/>
        </w:rPr>
        <w:t xml:space="preserve">1990, </w:t>
      </w:r>
      <w:proofErr w:type="spellStart"/>
      <w:r w:rsidR="007F7085" w:rsidRPr="005643FA">
        <w:rPr>
          <w:rFonts w:cstheme="minorHAnsi"/>
        </w:rPr>
        <w:t>Reg</w:t>
      </w:r>
      <w:proofErr w:type="spellEnd"/>
      <w:r w:rsidR="00E56329" w:rsidRPr="005643FA">
        <w:rPr>
          <w:rFonts w:cstheme="minorHAnsi"/>
        </w:rPr>
        <w:t xml:space="preserve"> 650, </w:t>
      </w:r>
      <w:r w:rsidR="005E5E39" w:rsidRPr="005643FA">
        <w:rPr>
          <w:rFonts w:cstheme="minorHAnsi"/>
        </w:rPr>
        <w:t>(</w:t>
      </w:r>
      <w:r w:rsidR="00E56329" w:rsidRPr="005643FA">
        <w:rPr>
          <w:rFonts w:cstheme="minorHAnsi"/>
        </w:rPr>
        <w:t>Facility Fees</w:t>
      </w:r>
      <w:r w:rsidR="005E5E39" w:rsidRPr="005643FA">
        <w:rPr>
          <w:rFonts w:cstheme="minorHAnsi"/>
        </w:rPr>
        <w:t>)</w:t>
      </w:r>
      <w:r w:rsidR="00E56329" w:rsidRPr="005643FA">
        <w:rPr>
          <w:rFonts w:cstheme="minorHAnsi"/>
        </w:rPr>
        <w:t xml:space="preserve"> under the </w:t>
      </w:r>
      <w:r w:rsidR="00E56329" w:rsidRPr="005643FA">
        <w:rPr>
          <w:rFonts w:cstheme="minorHAnsi"/>
          <w:i/>
        </w:rPr>
        <w:t>Independent Health Facilities Act</w:t>
      </w:r>
      <w:r w:rsidR="00C75568" w:rsidRPr="005643FA">
        <w:rPr>
          <w:rFonts w:cstheme="minorHAnsi"/>
        </w:rPr>
        <w:t xml:space="preserve"> </w:t>
      </w:r>
    </w:p>
    <w:p w:rsidR="00F152CE" w:rsidRPr="005643FA" w:rsidRDefault="00F152CE" w:rsidP="001E2401">
      <w:pPr>
        <w:rPr>
          <w:rFonts w:cstheme="minorHAnsi"/>
        </w:rPr>
      </w:pPr>
    </w:p>
    <w:p w:rsidR="00F152CE" w:rsidRPr="005643FA" w:rsidRDefault="00F152CE" w:rsidP="00F152CE">
      <w:pPr>
        <w:spacing w:after="0"/>
        <w:rPr>
          <w:rFonts w:cstheme="minorHAnsi"/>
          <w:b/>
        </w:rPr>
      </w:pPr>
      <w:r w:rsidRPr="005643FA">
        <w:rPr>
          <w:rFonts w:cstheme="minorHAnsi"/>
          <w:b/>
        </w:rPr>
        <w:t xml:space="preserve">CHANGES TO </w:t>
      </w:r>
      <w:r w:rsidR="002F4A2F" w:rsidRPr="005643FA">
        <w:rPr>
          <w:rFonts w:cstheme="minorHAnsi"/>
          <w:b/>
        </w:rPr>
        <w:t>REFLECT UPDATED</w:t>
      </w:r>
      <w:r w:rsidRPr="005643FA">
        <w:rPr>
          <w:rFonts w:cstheme="minorHAnsi"/>
          <w:b/>
        </w:rPr>
        <w:t xml:space="preserve"> TERMINOLOGY</w:t>
      </w:r>
      <w:r w:rsidR="002F4A2F" w:rsidRPr="005643FA">
        <w:rPr>
          <w:rFonts w:cstheme="minorHAnsi"/>
          <w:b/>
        </w:rPr>
        <w:t xml:space="preserve"> FOR “SOCIETY / CROWN WARD”, “EXTENDED CARE AND MAINTENANCE”</w:t>
      </w:r>
    </w:p>
    <w:p w:rsidR="00F152CE" w:rsidRPr="005643FA" w:rsidRDefault="00F152CE" w:rsidP="001E2401">
      <w:pPr>
        <w:rPr>
          <w:rFonts w:cstheme="minorHAnsi"/>
        </w:rPr>
      </w:pPr>
    </w:p>
    <w:p w:rsidR="00747436" w:rsidRPr="005643FA" w:rsidRDefault="00747436" w:rsidP="00120BF9">
      <w:pPr>
        <w:rPr>
          <w:rFonts w:cstheme="minorHAnsi"/>
          <w:color w:val="000000"/>
          <w:shd w:val="clear" w:color="auto" w:fill="FFFFFF"/>
        </w:rPr>
      </w:pPr>
      <w:r w:rsidRPr="005643FA">
        <w:rPr>
          <w:rFonts w:cstheme="minorHAnsi"/>
        </w:rPr>
        <w:t xml:space="preserve">Consequential amendments are proposed to the following regulations to </w:t>
      </w:r>
      <w:r w:rsidRPr="005643FA">
        <w:rPr>
          <w:rFonts w:cstheme="minorHAnsi"/>
          <w:lang w:val="en-GB"/>
        </w:rPr>
        <w:t xml:space="preserve">update the reference from the </w:t>
      </w:r>
      <w:r w:rsidRPr="005643FA">
        <w:rPr>
          <w:rFonts w:cstheme="minorHAnsi"/>
          <w:i/>
          <w:iCs/>
          <w:lang w:val="en-GB"/>
        </w:rPr>
        <w:t xml:space="preserve">Child and Family Services Act </w:t>
      </w:r>
      <w:r w:rsidRPr="005643FA">
        <w:rPr>
          <w:rFonts w:cstheme="minorHAnsi"/>
          <w:lang w:val="en-GB"/>
        </w:rPr>
        <w:t xml:space="preserve">to the </w:t>
      </w:r>
      <w:r w:rsidRPr="005643FA">
        <w:rPr>
          <w:rFonts w:cstheme="minorHAnsi"/>
          <w:i/>
          <w:iCs/>
          <w:lang w:val="en-GB"/>
        </w:rPr>
        <w:t>Child, Youth and Family Services Act, 2017</w:t>
      </w:r>
      <w:r w:rsidRPr="005643FA">
        <w:rPr>
          <w:rFonts w:cstheme="minorHAnsi"/>
          <w:iCs/>
          <w:lang w:val="en-GB"/>
        </w:rPr>
        <w:t>, references to</w:t>
      </w:r>
      <w:r w:rsidR="003B3F6F" w:rsidRPr="005643FA">
        <w:rPr>
          <w:rFonts w:cstheme="minorHAnsi"/>
          <w:iCs/>
          <w:lang w:val="en-GB"/>
        </w:rPr>
        <w:t xml:space="preserve"> numbered</w:t>
      </w:r>
      <w:r w:rsidRPr="005643FA">
        <w:rPr>
          <w:rFonts w:cstheme="minorHAnsi"/>
          <w:iCs/>
          <w:lang w:val="en-GB"/>
        </w:rPr>
        <w:t xml:space="preserve"> provisions</w:t>
      </w:r>
      <w:r w:rsidR="003B3F6F" w:rsidRPr="005643FA">
        <w:rPr>
          <w:rFonts w:cstheme="minorHAnsi"/>
          <w:iCs/>
          <w:lang w:val="en-GB"/>
        </w:rPr>
        <w:t xml:space="preserve"> and/or Parts</w:t>
      </w:r>
      <w:r w:rsidRPr="005643FA">
        <w:rPr>
          <w:rFonts w:cstheme="minorHAnsi"/>
          <w:iCs/>
          <w:lang w:val="en-GB"/>
        </w:rPr>
        <w:t>, and terminology</w:t>
      </w:r>
      <w:r w:rsidR="00F124F0" w:rsidRPr="005643FA">
        <w:rPr>
          <w:rFonts w:cstheme="minorHAnsi"/>
          <w:iCs/>
          <w:lang w:val="en-GB"/>
        </w:rPr>
        <w:t xml:space="preserve"> relating to “society ward</w:t>
      </w:r>
      <w:r w:rsidR="005F0419" w:rsidRPr="005643FA">
        <w:rPr>
          <w:rFonts w:cstheme="minorHAnsi"/>
          <w:iCs/>
          <w:lang w:val="en-GB"/>
        </w:rPr>
        <w:t>(ship)</w:t>
      </w:r>
      <w:r w:rsidR="00F124F0" w:rsidRPr="005643FA">
        <w:rPr>
          <w:rFonts w:cstheme="minorHAnsi"/>
          <w:iCs/>
          <w:lang w:val="en-GB"/>
        </w:rPr>
        <w:t xml:space="preserve">”, </w:t>
      </w:r>
      <w:r w:rsidRPr="005643FA">
        <w:rPr>
          <w:rFonts w:cstheme="minorHAnsi"/>
          <w:color w:val="000000"/>
          <w:shd w:val="clear" w:color="auto" w:fill="FFFFFF"/>
        </w:rPr>
        <w:t>“Crown ward</w:t>
      </w:r>
      <w:r w:rsidR="005F0419" w:rsidRPr="005643FA">
        <w:rPr>
          <w:rFonts w:cstheme="minorHAnsi"/>
          <w:color w:val="000000"/>
          <w:shd w:val="clear" w:color="auto" w:fill="FFFFFF"/>
        </w:rPr>
        <w:t>(ship)</w:t>
      </w:r>
      <w:r w:rsidRPr="005643FA">
        <w:rPr>
          <w:rFonts w:cstheme="minorHAnsi"/>
          <w:color w:val="000000"/>
          <w:shd w:val="clear" w:color="auto" w:fill="FFFFFF"/>
        </w:rPr>
        <w:t xml:space="preserve">”, </w:t>
      </w:r>
      <w:r w:rsidR="006968A0" w:rsidRPr="005643FA">
        <w:rPr>
          <w:rFonts w:cstheme="minorHAnsi"/>
          <w:color w:val="000000"/>
          <w:shd w:val="clear" w:color="auto" w:fill="FFFFFF"/>
        </w:rPr>
        <w:t>and</w:t>
      </w:r>
      <w:r w:rsidR="00F124F0" w:rsidRPr="005643FA">
        <w:rPr>
          <w:rFonts w:cstheme="minorHAnsi"/>
          <w:color w:val="000000"/>
          <w:shd w:val="clear" w:color="auto" w:fill="FFFFFF"/>
        </w:rPr>
        <w:t xml:space="preserve"> </w:t>
      </w:r>
      <w:r w:rsidR="00F124F0" w:rsidRPr="005643FA">
        <w:rPr>
          <w:rFonts w:cstheme="minorHAnsi"/>
          <w:color w:val="000000"/>
          <w:shd w:val="clear" w:color="auto" w:fill="FFFFFF"/>
        </w:rPr>
        <w:lastRenderedPageBreak/>
        <w:t>“</w:t>
      </w:r>
      <w:proofErr w:type="gramStart"/>
      <w:r w:rsidR="003B3F6F" w:rsidRPr="005643FA">
        <w:rPr>
          <w:rFonts w:cstheme="minorHAnsi"/>
          <w:color w:val="000000"/>
          <w:shd w:val="clear" w:color="auto" w:fill="FFFFFF"/>
        </w:rPr>
        <w:t>extended</w:t>
      </w:r>
      <w:proofErr w:type="gramEnd"/>
      <w:r w:rsidR="003B3F6F" w:rsidRPr="005643FA">
        <w:rPr>
          <w:rFonts w:cstheme="minorHAnsi"/>
          <w:color w:val="000000"/>
          <w:shd w:val="clear" w:color="auto" w:fill="FFFFFF"/>
        </w:rPr>
        <w:t xml:space="preserve"> </w:t>
      </w:r>
      <w:r w:rsidR="00F124F0" w:rsidRPr="005643FA">
        <w:rPr>
          <w:rFonts w:cstheme="minorHAnsi"/>
          <w:color w:val="000000"/>
          <w:shd w:val="clear" w:color="auto" w:fill="FFFFFF"/>
        </w:rPr>
        <w:t xml:space="preserve">care and maintenance” in the </w:t>
      </w:r>
      <w:r w:rsidR="00BF2F98" w:rsidRPr="005643FA">
        <w:rPr>
          <w:rFonts w:cstheme="minorHAnsi"/>
          <w:i/>
          <w:color w:val="000000"/>
          <w:shd w:val="clear" w:color="auto" w:fill="FFFFFF"/>
        </w:rPr>
        <w:t>Child and Family Services Act</w:t>
      </w:r>
      <w:r w:rsidR="00F124F0" w:rsidRPr="005643FA">
        <w:rPr>
          <w:rFonts w:cstheme="minorHAnsi"/>
          <w:color w:val="000000"/>
          <w:shd w:val="clear" w:color="auto" w:fill="FFFFFF"/>
        </w:rPr>
        <w:t>.  These</w:t>
      </w:r>
      <w:r w:rsidR="00C10FC6" w:rsidRPr="005643FA">
        <w:rPr>
          <w:rFonts w:cstheme="minorHAnsi"/>
          <w:color w:val="000000"/>
          <w:shd w:val="clear" w:color="auto" w:fill="FFFFFF"/>
        </w:rPr>
        <w:t xml:space="preserve"> terms</w:t>
      </w:r>
      <w:r w:rsidR="00F124F0" w:rsidRPr="005643FA">
        <w:rPr>
          <w:rFonts w:cstheme="minorHAnsi"/>
          <w:color w:val="000000"/>
          <w:shd w:val="clear" w:color="auto" w:fill="FFFFFF"/>
        </w:rPr>
        <w:t xml:space="preserve"> are updated in the </w:t>
      </w:r>
      <w:r w:rsidR="002966AE" w:rsidRPr="005643FA">
        <w:rPr>
          <w:rFonts w:cstheme="minorHAnsi"/>
          <w:i/>
          <w:color w:val="000000"/>
          <w:shd w:val="clear" w:color="auto" w:fill="FFFFFF"/>
        </w:rPr>
        <w:t>Child, Youth and Family Services Act, 2017</w:t>
      </w:r>
      <w:r w:rsidR="00F124F0" w:rsidRPr="005643FA">
        <w:rPr>
          <w:rFonts w:cstheme="minorHAnsi"/>
          <w:color w:val="000000"/>
          <w:shd w:val="clear" w:color="auto" w:fill="FFFFFF"/>
        </w:rPr>
        <w:t xml:space="preserve"> to refer</w:t>
      </w:r>
      <w:r w:rsidR="005F0419" w:rsidRPr="005643FA">
        <w:rPr>
          <w:rFonts w:cstheme="minorHAnsi"/>
          <w:color w:val="000000"/>
          <w:shd w:val="clear" w:color="auto" w:fill="FFFFFF"/>
        </w:rPr>
        <w:t>, respectively,</w:t>
      </w:r>
      <w:r w:rsidR="00F124F0" w:rsidRPr="005643FA">
        <w:rPr>
          <w:rFonts w:cstheme="minorHAnsi"/>
          <w:color w:val="000000"/>
          <w:shd w:val="clear" w:color="auto" w:fill="FFFFFF"/>
        </w:rPr>
        <w:t xml:space="preserve"> </w:t>
      </w:r>
      <w:r w:rsidRPr="005643FA">
        <w:rPr>
          <w:rFonts w:cstheme="minorHAnsi"/>
          <w:color w:val="000000"/>
          <w:shd w:val="clear" w:color="auto" w:fill="FFFFFF"/>
        </w:rPr>
        <w:t>to children in interim society care</w:t>
      </w:r>
      <w:r w:rsidR="005F0419" w:rsidRPr="005643FA">
        <w:rPr>
          <w:rFonts w:cstheme="minorHAnsi"/>
          <w:color w:val="000000"/>
          <w:shd w:val="clear" w:color="auto" w:fill="FFFFFF"/>
        </w:rPr>
        <w:t>, children in</w:t>
      </w:r>
      <w:r w:rsidRPr="005643FA">
        <w:rPr>
          <w:rFonts w:cstheme="minorHAnsi"/>
          <w:color w:val="000000"/>
          <w:shd w:val="clear" w:color="auto" w:fill="FFFFFF"/>
        </w:rPr>
        <w:t xml:space="preserve"> extended society care</w:t>
      </w:r>
      <w:r w:rsidR="00F124F0" w:rsidRPr="005643FA">
        <w:rPr>
          <w:rFonts w:cstheme="minorHAnsi"/>
          <w:color w:val="000000"/>
          <w:shd w:val="clear" w:color="auto" w:fill="FFFFFF"/>
        </w:rPr>
        <w:t xml:space="preserve">, and continued care and support. </w:t>
      </w:r>
    </w:p>
    <w:p w:rsidR="00F124F0" w:rsidRPr="005643FA" w:rsidRDefault="00B263B3" w:rsidP="005636FE">
      <w:pPr>
        <w:pStyle w:val="ListParagraph"/>
        <w:numPr>
          <w:ilvl w:val="0"/>
          <w:numId w:val="2"/>
        </w:numPr>
        <w:rPr>
          <w:rFonts w:cstheme="minorHAnsi"/>
        </w:rPr>
      </w:pPr>
      <w:r w:rsidRPr="005643FA">
        <w:rPr>
          <w:rFonts w:cstheme="minorHAnsi"/>
        </w:rPr>
        <w:t xml:space="preserve">O </w:t>
      </w:r>
      <w:proofErr w:type="spellStart"/>
      <w:r w:rsidR="007F7085" w:rsidRPr="005643FA">
        <w:rPr>
          <w:rFonts w:cstheme="minorHAnsi"/>
        </w:rPr>
        <w:t>Reg</w:t>
      </w:r>
      <w:proofErr w:type="spellEnd"/>
      <w:r w:rsidR="00F124F0" w:rsidRPr="005643FA">
        <w:rPr>
          <w:rFonts w:cstheme="minorHAnsi"/>
        </w:rPr>
        <w:t xml:space="preserve"> 107/99, </w:t>
      </w:r>
      <w:r w:rsidR="00D675EB" w:rsidRPr="005643FA">
        <w:rPr>
          <w:rFonts w:cstheme="minorHAnsi"/>
        </w:rPr>
        <w:t>(</w:t>
      </w:r>
      <w:r w:rsidR="00F124F0" w:rsidRPr="005643FA">
        <w:rPr>
          <w:rFonts w:cstheme="minorHAnsi"/>
        </w:rPr>
        <w:t>General</w:t>
      </w:r>
      <w:r w:rsidR="00D675EB" w:rsidRPr="005643FA">
        <w:rPr>
          <w:rFonts w:cstheme="minorHAnsi"/>
        </w:rPr>
        <w:t>)</w:t>
      </w:r>
      <w:r w:rsidR="00F124F0" w:rsidRPr="005643FA">
        <w:rPr>
          <w:rFonts w:cstheme="minorHAnsi"/>
        </w:rPr>
        <w:t xml:space="preserve">, under the </w:t>
      </w:r>
      <w:r w:rsidR="00F124F0" w:rsidRPr="005643FA">
        <w:rPr>
          <w:rFonts w:cstheme="minorHAnsi"/>
          <w:i/>
        </w:rPr>
        <w:t>Legal Aid Services Act, 1998</w:t>
      </w:r>
    </w:p>
    <w:p w:rsidR="00F124F0" w:rsidRPr="005643FA" w:rsidRDefault="00B033DB" w:rsidP="005636FE">
      <w:pPr>
        <w:pStyle w:val="ListParagraph"/>
        <w:numPr>
          <w:ilvl w:val="0"/>
          <w:numId w:val="2"/>
        </w:numPr>
        <w:rPr>
          <w:rFonts w:cstheme="minorHAnsi"/>
        </w:rPr>
      </w:pPr>
      <w:r w:rsidRPr="005643FA">
        <w:rPr>
          <w:rFonts w:cstheme="minorHAnsi"/>
        </w:rPr>
        <w:t xml:space="preserve">O </w:t>
      </w:r>
      <w:proofErr w:type="spellStart"/>
      <w:r w:rsidRPr="005643FA">
        <w:rPr>
          <w:rFonts w:cstheme="minorHAnsi"/>
        </w:rPr>
        <w:t>Reg</w:t>
      </w:r>
      <w:proofErr w:type="spellEnd"/>
      <w:r w:rsidR="00F124F0" w:rsidRPr="005643FA">
        <w:rPr>
          <w:rFonts w:cstheme="minorHAnsi"/>
        </w:rPr>
        <w:t xml:space="preserve"> 118/07, </w:t>
      </w:r>
      <w:r w:rsidR="00D675EB" w:rsidRPr="005643FA">
        <w:rPr>
          <w:rFonts w:cstheme="minorHAnsi"/>
        </w:rPr>
        <w:t>(</w:t>
      </w:r>
      <w:r w:rsidR="00F124F0" w:rsidRPr="005643FA">
        <w:rPr>
          <w:rFonts w:cstheme="minorHAnsi"/>
        </w:rPr>
        <w:t>Ontario Access Grants and Ontario Tuition Grants</w:t>
      </w:r>
      <w:r w:rsidR="00D675EB" w:rsidRPr="005643FA">
        <w:rPr>
          <w:rFonts w:cstheme="minorHAnsi"/>
        </w:rPr>
        <w:t>)</w:t>
      </w:r>
      <w:r w:rsidR="00F124F0" w:rsidRPr="005643FA">
        <w:rPr>
          <w:rFonts w:cstheme="minorHAnsi"/>
        </w:rPr>
        <w:t xml:space="preserve">, under the </w:t>
      </w:r>
      <w:r w:rsidR="00F124F0" w:rsidRPr="005643FA">
        <w:rPr>
          <w:rFonts w:cstheme="minorHAnsi"/>
          <w:i/>
        </w:rPr>
        <w:t>Ministry of Training, Colleges and Universities Act</w:t>
      </w:r>
      <w:r w:rsidR="00F124F0" w:rsidRPr="005643FA">
        <w:rPr>
          <w:rFonts w:cstheme="minorHAnsi"/>
        </w:rPr>
        <w:t xml:space="preserve"> </w:t>
      </w:r>
    </w:p>
    <w:p w:rsidR="006968A0" w:rsidRPr="005643FA" w:rsidRDefault="00B033DB" w:rsidP="005636FE">
      <w:pPr>
        <w:pStyle w:val="ListParagraph"/>
        <w:numPr>
          <w:ilvl w:val="0"/>
          <w:numId w:val="2"/>
        </w:numPr>
        <w:rPr>
          <w:rFonts w:cstheme="minorHAnsi"/>
          <w:i/>
        </w:rPr>
      </w:pPr>
      <w:r w:rsidRPr="005643FA">
        <w:rPr>
          <w:rFonts w:cstheme="minorHAnsi"/>
        </w:rPr>
        <w:t xml:space="preserve">O </w:t>
      </w:r>
      <w:proofErr w:type="spellStart"/>
      <w:r w:rsidRPr="005643FA">
        <w:rPr>
          <w:rFonts w:cstheme="minorHAnsi"/>
        </w:rPr>
        <w:t>Reg</w:t>
      </w:r>
      <w:proofErr w:type="spellEnd"/>
      <w:r w:rsidR="00F124F0" w:rsidRPr="005643FA">
        <w:rPr>
          <w:rFonts w:cstheme="minorHAnsi"/>
        </w:rPr>
        <w:t xml:space="preserve"> 282/13, </w:t>
      </w:r>
      <w:r w:rsidR="00D675EB" w:rsidRPr="005643FA">
        <w:rPr>
          <w:rFonts w:cstheme="minorHAnsi"/>
        </w:rPr>
        <w:t>(</w:t>
      </w:r>
      <w:r w:rsidR="00F124F0" w:rsidRPr="005643FA">
        <w:rPr>
          <w:rFonts w:cstheme="minorHAnsi"/>
        </w:rPr>
        <w:t>Living and Learning Grant</w:t>
      </w:r>
      <w:r w:rsidR="00D675EB" w:rsidRPr="005643FA">
        <w:rPr>
          <w:rFonts w:cstheme="minorHAnsi"/>
        </w:rPr>
        <w:t>)</w:t>
      </w:r>
      <w:r w:rsidR="00F124F0" w:rsidRPr="005643FA">
        <w:rPr>
          <w:rFonts w:cstheme="minorHAnsi"/>
        </w:rPr>
        <w:t xml:space="preserve">, under the </w:t>
      </w:r>
      <w:r w:rsidR="00F124F0" w:rsidRPr="005643FA">
        <w:rPr>
          <w:rFonts w:cstheme="minorHAnsi"/>
          <w:i/>
        </w:rPr>
        <w:t>Ministry of Training, Colleges and Universities Act</w:t>
      </w:r>
    </w:p>
    <w:p w:rsidR="006968A0" w:rsidRPr="005643FA" w:rsidRDefault="00B033DB" w:rsidP="005636FE">
      <w:pPr>
        <w:pStyle w:val="ListParagraph"/>
        <w:numPr>
          <w:ilvl w:val="0"/>
          <w:numId w:val="2"/>
        </w:numPr>
        <w:rPr>
          <w:rFonts w:cstheme="minorHAnsi"/>
        </w:rPr>
      </w:pPr>
      <w:r w:rsidRPr="005643FA">
        <w:rPr>
          <w:rFonts w:cstheme="minorHAnsi"/>
        </w:rPr>
        <w:t xml:space="preserve">O </w:t>
      </w:r>
      <w:proofErr w:type="spellStart"/>
      <w:r w:rsidRPr="005643FA">
        <w:rPr>
          <w:rFonts w:cstheme="minorHAnsi"/>
        </w:rPr>
        <w:t>Reg</w:t>
      </w:r>
      <w:proofErr w:type="spellEnd"/>
      <w:r w:rsidR="00D675EB" w:rsidRPr="005643FA">
        <w:rPr>
          <w:rFonts w:cstheme="minorHAnsi"/>
        </w:rPr>
        <w:t xml:space="preserve"> 24/10, (</w:t>
      </w:r>
      <w:r w:rsidR="006968A0" w:rsidRPr="005643FA">
        <w:rPr>
          <w:rFonts w:cstheme="minorHAnsi"/>
        </w:rPr>
        <w:t>Custody Claims by Non-Parents</w:t>
      </w:r>
      <w:r w:rsidR="00D675EB" w:rsidRPr="005643FA">
        <w:rPr>
          <w:rFonts w:cstheme="minorHAnsi"/>
        </w:rPr>
        <w:t>)</w:t>
      </w:r>
      <w:r w:rsidR="006968A0" w:rsidRPr="005643FA">
        <w:rPr>
          <w:rFonts w:cstheme="minorHAnsi"/>
        </w:rPr>
        <w:t xml:space="preserve">, under the </w:t>
      </w:r>
      <w:r w:rsidR="006968A0" w:rsidRPr="005643FA">
        <w:rPr>
          <w:rFonts w:cstheme="minorHAnsi"/>
          <w:i/>
        </w:rPr>
        <w:t>Children’s Law Reform Act</w:t>
      </w:r>
      <w:r w:rsidR="006968A0" w:rsidRPr="005643FA">
        <w:rPr>
          <w:rFonts w:cstheme="minorHAnsi"/>
        </w:rPr>
        <w:t xml:space="preserve">.  </w:t>
      </w:r>
    </w:p>
    <w:p w:rsidR="00190146" w:rsidRPr="005643FA" w:rsidRDefault="00120BF9" w:rsidP="006968A0">
      <w:pPr>
        <w:rPr>
          <w:rFonts w:cstheme="minorHAnsi"/>
        </w:rPr>
      </w:pPr>
      <w:r w:rsidRPr="005643FA">
        <w:rPr>
          <w:rFonts w:cstheme="minorHAnsi"/>
        </w:rPr>
        <w:t xml:space="preserve">Consequential amendments are proposed to </w:t>
      </w:r>
      <w:r w:rsidR="00B033DB" w:rsidRPr="005643FA">
        <w:rPr>
          <w:rFonts w:cstheme="minorHAnsi"/>
        </w:rPr>
        <w:t xml:space="preserve">O </w:t>
      </w:r>
      <w:proofErr w:type="spellStart"/>
      <w:r w:rsidR="00B033DB" w:rsidRPr="005643FA">
        <w:rPr>
          <w:rFonts w:cstheme="minorHAnsi"/>
        </w:rPr>
        <w:t>Reg</w:t>
      </w:r>
      <w:proofErr w:type="spellEnd"/>
      <w:r w:rsidR="00A17274" w:rsidRPr="005643FA">
        <w:rPr>
          <w:rFonts w:cstheme="minorHAnsi"/>
        </w:rPr>
        <w:t xml:space="preserve"> </w:t>
      </w:r>
      <w:r w:rsidR="00190146" w:rsidRPr="005643FA">
        <w:rPr>
          <w:rFonts w:cstheme="minorHAnsi"/>
        </w:rPr>
        <w:t xml:space="preserve">298/01, </w:t>
      </w:r>
      <w:r w:rsidR="00D675EB" w:rsidRPr="005643FA">
        <w:rPr>
          <w:rFonts w:cstheme="minorHAnsi"/>
        </w:rPr>
        <w:t>(</w:t>
      </w:r>
      <w:r w:rsidR="005964CD" w:rsidRPr="005643FA">
        <w:rPr>
          <w:rFonts w:cstheme="minorHAnsi"/>
        </w:rPr>
        <w:t>Determination of Geared-to-Income Rent</w:t>
      </w:r>
      <w:r w:rsidR="00D675EB" w:rsidRPr="005643FA">
        <w:rPr>
          <w:rFonts w:cstheme="minorHAnsi"/>
        </w:rPr>
        <w:t>)</w:t>
      </w:r>
      <w:r w:rsidR="005964CD" w:rsidRPr="005643FA">
        <w:rPr>
          <w:rFonts w:cstheme="minorHAnsi"/>
        </w:rPr>
        <w:t xml:space="preserve"> </w:t>
      </w:r>
      <w:r w:rsidR="005F0419" w:rsidRPr="005643FA">
        <w:rPr>
          <w:rFonts w:cstheme="minorHAnsi"/>
        </w:rPr>
        <w:t>u</w:t>
      </w:r>
      <w:r w:rsidR="005964CD" w:rsidRPr="005643FA">
        <w:rPr>
          <w:rFonts w:cstheme="minorHAnsi"/>
        </w:rPr>
        <w:t>nder Section 50 of the Act</w:t>
      </w:r>
      <w:r w:rsidR="005F0419" w:rsidRPr="005643FA">
        <w:rPr>
          <w:rFonts w:cstheme="minorHAnsi"/>
        </w:rPr>
        <w:t>,</w:t>
      </w:r>
      <w:r w:rsidR="00190146" w:rsidRPr="005643FA">
        <w:rPr>
          <w:rFonts w:cstheme="minorHAnsi"/>
        </w:rPr>
        <w:t xml:space="preserve"> </w:t>
      </w:r>
      <w:r w:rsidR="00CF6BD8" w:rsidRPr="005643FA">
        <w:rPr>
          <w:rFonts w:cstheme="minorHAnsi"/>
        </w:rPr>
        <w:t xml:space="preserve">under the </w:t>
      </w:r>
      <w:r w:rsidR="00CF6BD8" w:rsidRPr="005643FA">
        <w:rPr>
          <w:rFonts w:cstheme="minorHAnsi"/>
          <w:i/>
        </w:rPr>
        <w:t xml:space="preserve">Housing Services Act, </w:t>
      </w:r>
      <w:r w:rsidR="00CF6BD8" w:rsidRPr="005643FA">
        <w:rPr>
          <w:rFonts w:cstheme="minorHAnsi"/>
        </w:rPr>
        <w:t xml:space="preserve">2011, </w:t>
      </w:r>
      <w:r w:rsidRPr="005643FA">
        <w:rPr>
          <w:rFonts w:cstheme="minorHAnsi"/>
        </w:rPr>
        <w:t xml:space="preserve">to </w:t>
      </w:r>
      <w:r w:rsidR="007A067B" w:rsidRPr="005643FA">
        <w:rPr>
          <w:rFonts w:cstheme="minorHAnsi"/>
          <w:lang w:val="en-GB"/>
        </w:rPr>
        <w:t>update the reference</w:t>
      </w:r>
      <w:r w:rsidRPr="005643FA">
        <w:rPr>
          <w:rFonts w:cstheme="minorHAnsi"/>
          <w:lang w:val="en-GB"/>
        </w:rPr>
        <w:t>s</w:t>
      </w:r>
      <w:r w:rsidR="007A067B" w:rsidRPr="005643FA">
        <w:rPr>
          <w:rFonts w:cstheme="minorHAnsi"/>
          <w:lang w:val="en-GB"/>
        </w:rPr>
        <w:t xml:space="preserve"> from the </w:t>
      </w:r>
      <w:r w:rsidR="007A067B" w:rsidRPr="005643FA">
        <w:rPr>
          <w:rFonts w:cstheme="minorHAnsi"/>
          <w:i/>
          <w:iCs/>
          <w:lang w:val="en-GB"/>
        </w:rPr>
        <w:t xml:space="preserve">Child and Family Services Act </w:t>
      </w:r>
      <w:r w:rsidR="007A067B" w:rsidRPr="005643FA">
        <w:rPr>
          <w:rFonts w:cstheme="minorHAnsi"/>
          <w:lang w:val="en-GB"/>
        </w:rPr>
        <w:t xml:space="preserve">to the </w:t>
      </w:r>
      <w:r w:rsidR="007A067B" w:rsidRPr="005643FA">
        <w:rPr>
          <w:rFonts w:cstheme="minorHAnsi"/>
          <w:i/>
          <w:iCs/>
          <w:lang w:val="en-GB"/>
        </w:rPr>
        <w:t>Child, Youth and Family Services Act, 2017</w:t>
      </w:r>
      <w:r w:rsidRPr="005643FA">
        <w:rPr>
          <w:rFonts w:cstheme="minorHAnsi"/>
        </w:rPr>
        <w:t xml:space="preserve"> and </w:t>
      </w:r>
      <w:r w:rsidR="006762E3" w:rsidRPr="005643FA">
        <w:rPr>
          <w:rFonts w:cstheme="minorHAnsi"/>
        </w:rPr>
        <w:t>references to</w:t>
      </w:r>
      <w:r w:rsidR="005F0419" w:rsidRPr="005643FA">
        <w:rPr>
          <w:rFonts w:cstheme="minorHAnsi"/>
        </w:rPr>
        <w:t xml:space="preserve"> numbered provisions.  Consistent with the change in terminology referenced above, the phrase </w:t>
      </w:r>
      <w:r w:rsidRPr="005643FA">
        <w:rPr>
          <w:rFonts w:cstheme="minorHAnsi"/>
        </w:rPr>
        <w:t>“extend</w:t>
      </w:r>
      <w:r w:rsidR="00ED085F" w:rsidRPr="005643FA">
        <w:rPr>
          <w:rFonts w:cstheme="minorHAnsi"/>
        </w:rPr>
        <w:t>ed care and maintenance allowance for a former C</w:t>
      </w:r>
      <w:r w:rsidRPr="005643FA">
        <w:rPr>
          <w:rFonts w:cstheme="minorHAnsi"/>
        </w:rPr>
        <w:t>rown ward</w:t>
      </w:r>
      <w:r w:rsidR="001B6EA1" w:rsidRPr="005643FA">
        <w:rPr>
          <w:rFonts w:cstheme="minorHAnsi"/>
        </w:rPr>
        <w:t xml:space="preserve"> received from a children’s aid society</w:t>
      </w:r>
      <w:r w:rsidRPr="005643FA">
        <w:rPr>
          <w:rFonts w:cstheme="minorHAnsi"/>
        </w:rPr>
        <w:t xml:space="preserve">” </w:t>
      </w:r>
      <w:r w:rsidR="005F0419" w:rsidRPr="005643FA">
        <w:rPr>
          <w:rFonts w:cstheme="minorHAnsi"/>
        </w:rPr>
        <w:t>would</w:t>
      </w:r>
      <w:r w:rsidR="00FB4A13" w:rsidRPr="005643FA">
        <w:rPr>
          <w:rFonts w:cstheme="minorHAnsi"/>
        </w:rPr>
        <w:t xml:space="preserve"> be</w:t>
      </w:r>
      <w:r w:rsidR="00ED085F" w:rsidRPr="005643FA">
        <w:rPr>
          <w:rFonts w:cstheme="minorHAnsi"/>
        </w:rPr>
        <w:t xml:space="preserve"> replaced in</w:t>
      </w:r>
      <w:r w:rsidR="00BA0BDF" w:rsidRPr="005643FA">
        <w:rPr>
          <w:rFonts w:cstheme="minorHAnsi"/>
        </w:rPr>
        <w:t xml:space="preserve"> </w:t>
      </w:r>
      <w:r w:rsidR="00B033DB" w:rsidRPr="005643FA">
        <w:rPr>
          <w:rFonts w:cstheme="minorHAnsi"/>
        </w:rPr>
        <w:t xml:space="preserve">O </w:t>
      </w:r>
      <w:proofErr w:type="spellStart"/>
      <w:r w:rsidR="00B033DB" w:rsidRPr="005643FA">
        <w:rPr>
          <w:rFonts w:cstheme="minorHAnsi"/>
        </w:rPr>
        <w:t>Reg</w:t>
      </w:r>
      <w:proofErr w:type="spellEnd"/>
      <w:r w:rsidR="00BA0BDF" w:rsidRPr="005643FA">
        <w:rPr>
          <w:rFonts w:cstheme="minorHAnsi"/>
        </w:rPr>
        <w:t xml:space="preserve"> 298/01</w:t>
      </w:r>
      <w:r w:rsidR="00C41F6A" w:rsidRPr="005643FA">
        <w:rPr>
          <w:rFonts w:cstheme="minorHAnsi"/>
        </w:rPr>
        <w:t xml:space="preserve"> </w:t>
      </w:r>
      <w:r w:rsidR="00ED085F" w:rsidRPr="005643FA">
        <w:rPr>
          <w:rFonts w:cstheme="minorHAnsi"/>
        </w:rPr>
        <w:t>with</w:t>
      </w:r>
      <w:r w:rsidR="00C41F6A" w:rsidRPr="005643FA">
        <w:rPr>
          <w:rFonts w:cstheme="minorHAnsi"/>
        </w:rPr>
        <w:t xml:space="preserve"> “financial s</w:t>
      </w:r>
      <w:r w:rsidR="001379A3" w:rsidRPr="005643FA">
        <w:rPr>
          <w:rFonts w:cstheme="minorHAnsi"/>
        </w:rPr>
        <w:t>upport that is care and support</w:t>
      </w:r>
      <w:r w:rsidR="00C41F6A" w:rsidRPr="005643FA">
        <w:rPr>
          <w:rFonts w:cstheme="minorHAnsi"/>
        </w:rPr>
        <w:t xml:space="preserve"> received from a children’s aid society or a prescribed entity”.</w:t>
      </w:r>
      <w:r w:rsidR="006968A0" w:rsidRPr="005643FA">
        <w:rPr>
          <w:rFonts w:cstheme="minorHAnsi"/>
        </w:rPr>
        <w:t xml:space="preserve">  </w:t>
      </w:r>
      <w:r w:rsidR="00F91A36" w:rsidRPr="005643FA">
        <w:rPr>
          <w:rFonts w:cstheme="minorHAnsi"/>
        </w:rPr>
        <w:t xml:space="preserve">No changes to the scope of the application of the statute or regulation would result from these proposed consequential amendments. </w:t>
      </w:r>
    </w:p>
    <w:p w:rsidR="00F152CE" w:rsidRPr="005643FA" w:rsidRDefault="003B3F6F" w:rsidP="00F93F0F">
      <w:pPr>
        <w:rPr>
          <w:rFonts w:cstheme="minorHAnsi"/>
          <w:b/>
        </w:rPr>
      </w:pPr>
      <w:r w:rsidRPr="005643FA">
        <w:rPr>
          <w:rFonts w:cstheme="minorHAnsi"/>
          <w:b/>
        </w:rPr>
        <w:t>CHANGES TO REFLECT REMOVAL OF CONCEPT</w:t>
      </w:r>
      <w:r w:rsidR="002F4A2F" w:rsidRPr="005643FA">
        <w:rPr>
          <w:rFonts w:cstheme="minorHAnsi"/>
          <w:b/>
        </w:rPr>
        <w:t xml:space="preserve">S </w:t>
      </w:r>
      <w:r w:rsidRPr="005643FA">
        <w:rPr>
          <w:rFonts w:cstheme="minorHAnsi"/>
          <w:b/>
        </w:rPr>
        <w:t>“APPROVED AGENCIES” AND “APPROVED CORPORATIONS” UNDER CYFSA</w:t>
      </w:r>
    </w:p>
    <w:p w:rsidR="002C5BBB" w:rsidRPr="005643FA" w:rsidRDefault="003B3F6F" w:rsidP="003B3F6F">
      <w:pPr>
        <w:rPr>
          <w:rFonts w:cstheme="minorHAnsi"/>
          <w:iCs/>
          <w:lang w:val="en-GB"/>
        </w:rPr>
      </w:pPr>
      <w:r w:rsidRPr="005643FA">
        <w:rPr>
          <w:rFonts w:cstheme="minorHAnsi"/>
        </w:rPr>
        <w:t xml:space="preserve">Consequential amendments are proposed to </w:t>
      </w:r>
      <w:r w:rsidR="00B263B3" w:rsidRPr="005643FA">
        <w:rPr>
          <w:rFonts w:cstheme="minorHAnsi"/>
        </w:rPr>
        <w:t xml:space="preserve">RRO 1990, </w:t>
      </w:r>
      <w:proofErr w:type="spellStart"/>
      <w:r w:rsidR="00D675EB" w:rsidRPr="005643FA">
        <w:rPr>
          <w:rFonts w:cstheme="minorHAnsi"/>
        </w:rPr>
        <w:t>Reg</w:t>
      </w:r>
      <w:proofErr w:type="spellEnd"/>
      <w:r w:rsidRPr="005643FA">
        <w:rPr>
          <w:rFonts w:cstheme="minorHAnsi"/>
        </w:rPr>
        <w:t xml:space="preserve"> 1094</w:t>
      </w:r>
      <w:r w:rsidR="009719C1" w:rsidRPr="005643FA">
        <w:rPr>
          <w:rFonts w:cstheme="minorHAnsi"/>
        </w:rPr>
        <w:t>,</w:t>
      </w:r>
      <w:r w:rsidRPr="005643FA">
        <w:rPr>
          <w:rFonts w:cstheme="minorHAnsi"/>
        </w:rPr>
        <w:t xml:space="preserve"> </w:t>
      </w:r>
      <w:r w:rsidR="00D675EB" w:rsidRPr="005643FA">
        <w:rPr>
          <w:rFonts w:cstheme="minorHAnsi"/>
        </w:rPr>
        <w:t>(</w:t>
      </w:r>
      <w:r w:rsidRPr="005643FA">
        <w:rPr>
          <w:rFonts w:cstheme="minorHAnsi"/>
        </w:rPr>
        <w:t>General</w:t>
      </w:r>
      <w:r w:rsidR="00D675EB" w:rsidRPr="005643FA">
        <w:rPr>
          <w:rFonts w:cstheme="minorHAnsi"/>
        </w:rPr>
        <w:t>)</w:t>
      </w:r>
      <w:r w:rsidRPr="005643FA">
        <w:rPr>
          <w:rFonts w:cstheme="minorHAnsi"/>
        </w:rPr>
        <w:t xml:space="preserve"> under the </w:t>
      </w:r>
      <w:r w:rsidRPr="005643FA">
        <w:rPr>
          <w:rFonts w:cstheme="minorHAnsi"/>
          <w:i/>
        </w:rPr>
        <w:t>Vital Statistics Act</w:t>
      </w:r>
      <w:r w:rsidRPr="005643FA">
        <w:rPr>
          <w:rFonts w:cstheme="minorHAnsi"/>
        </w:rPr>
        <w:t xml:space="preserve">. They </w:t>
      </w:r>
      <w:r w:rsidRPr="005643FA">
        <w:rPr>
          <w:rFonts w:cstheme="minorHAnsi"/>
          <w:lang w:val="en-GB"/>
        </w:rPr>
        <w:t>update the reference</w:t>
      </w:r>
      <w:r w:rsidR="00BF5613" w:rsidRPr="005643FA">
        <w:rPr>
          <w:rFonts w:cstheme="minorHAnsi"/>
          <w:lang w:val="en-GB"/>
        </w:rPr>
        <w:t>s</w:t>
      </w:r>
      <w:r w:rsidRPr="005643FA">
        <w:rPr>
          <w:rFonts w:cstheme="minorHAnsi"/>
          <w:lang w:val="en-GB"/>
        </w:rPr>
        <w:t xml:space="preserve"> from the </w:t>
      </w:r>
      <w:r w:rsidRPr="005643FA">
        <w:rPr>
          <w:rFonts w:cstheme="minorHAnsi"/>
          <w:i/>
          <w:iCs/>
          <w:lang w:val="en-GB"/>
        </w:rPr>
        <w:t xml:space="preserve">Child and Family Services Act </w:t>
      </w:r>
      <w:r w:rsidRPr="005643FA">
        <w:rPr>
          <w:rFonts w:cstheme="minorHAnsi"/>
          <w:lang w:val="en-GB"/>
        </w:rPr>
        <w:t xml:space="preserve">to the </w:t>
      </w:r>
      <w:r w:rsidRPr="005643FA">
        <w:rPr>
          <w:rFonts w:cstheme="minorHAnsi"/>
          <w:i/>
          <w:iCs/>
          <w:lang w:val="en-GB"/>
        </w:rPr>
        <w:t>Child, Youth and Family Services Act, 2017</w:t>
      </w:r>
      <w:r w:rsidR="002C5BBB" w:rsidRPr="005643FA">
        <w:rPr>
          <w:rFonts w:cstheme="minorHAnsi"/>
          <w:iCs/>
          <w:lang w:val="en-GB"/>
        </w:rPr>
        <w:t xml:space="preserve"> and replace the reference to Children’s Aid Societies “approved” under the </w:t>
      </w:r>
      <w:r w:rsidR="00BF2F98" w:rsidRPr="005643FA">
        <w:rPr>
          <w:rFonts w:cstheme="minorHAnsi"/>
          <w:i/>
          <w:iCs/>
          <w:lang w:val="en-GB"/>
        </w:rPr>
        <w:t>Child and Family Services Act</w:t>
      </w:r>
      <w:r w:rsidR="002C5BBB" w:rsidRPr="005643FA">
        <w:rPr>
          <w:rFonts w:cstheme="minorHAnsi"/>
          <w:iCs/>
          <w:lang w:val="en-GB"/>
        </w:rPr>
        <w:t xml:space="preserve"> with “designated” </w:t>
      </w:r>
      <w:r w:rsidR="00DA057C" w:rsidRPr="005643FA">
        <w:rPr>
          <w:rFonts w:cstheme="minorHAnsi"/>
          <w:iCs/>
          <w:lang w:val="en-GB"/>
        </w:rPr>
        <w:t xml:space="preserve">by the Minister </w:t>
      </w:r>
      <w:r w:rsidR="002C5BBB" w:rsidRPr="005643FA">
        <w:rPr>
          <w:rFonts w:cstheme="minorHAnsi"/>
          <w:iCs/>
          <w:lang w:val="en-GB"/>
        </w:rPr>
        <w:t xml:space="preserve">under the </w:t>
      </w:r>
      <w:r w:rsidR="001352DC" w:rsidRPr="005643FA">
        <w:rPr>
          <w:rFonts w:cstheme="minorHAnsi"/>
          <w:i/>
          <w:iCs/>
          <w:lang w:val="en-GB"/>
        </w:rPr>
        <w:t>Child, Youth and Family Services Act</w:t>
      </w:r>
      <w:r w:rsidR="00947C65" w:rsidRPr="005643FA">
        <w:rPr>
          <w:rFonts w:cstheme="minorHAnsi"/>
          <w:i/>
          <w:iCs/>
          <w:lang w:val="en-GB"/>
        </w:rPr>
        <w:t>, 2017</w:t>
      </w:r>
      <w:r w:rsidR="002C5BBB" w:rsidRPr="005643FA">
        <w:rPr>
          <w:rFonts w:cstheme="minorHAnsi"/>
          <w:iCs/>
          <w:lang w:val="en-GB"/>
        </w:rPr>
        <w:t>. No change to the scope of the application of the statute or regulation would result from these proposed consequential amendments.</w:t>
      </w:r>
    </w:p>
    <w:p w:rsidR="007F0B22" w:rsidRPr="005643FA" w:rsidRDefault="007F0B22" w:rsidP="00F93F0F">
      <w:pPr>
        <w:rPr>
          <w:rFonts w:cstheme="minorHAnsi"/>
        </w:rPr>
      </w:pPr>
      <w:r w:rsidRPr="005643FA">
        <w:rPr>
          <w:rFonts w:cstheme="minorHAnsi"/>
        </w:rPr>
        <w:t xml:space="preserve">A consequential amendment is proposed to a provision in </w:t>
      </w:r>
      <w:r w:rsidR="00D675EB" w:rsidRPr="005643FA">
        <w:rPr>
          <w:rFonts w:cstheme="minorHAnsi"/>
          <w:bCs/>
          <w:iCs/>
        </w:rPr>
        <w:t>RRO 1990</w:t>
      </w:r>
      <w:r w:rsidR="00B263B3" w:rsidRPr="005643FA">
        <w:rPr>
          <w:rFonts w:cstheme="minorHAnsi"/>
          <w:bCs/>
          <w:iCs/>
        </w:rPr>
        <w:t>,</w:t>
      </w:r>
      <w:r w:rsidR="00D675EB" w:rsidRPr="005643FA">
        <w:rPr>
          <w:rFonts w:cstheme="minorHAnsi"/>
          <w:bCs/>
          <w:iCs/>
        </w:rPr>
        <w:t xml:space="preserve"> </w:t>
      </w:r>
      <w:proofErr w:type="spellStart"/>
      <w:r w:rsidR="007F7085" w:rsidRPr="005643FA">
        <w:rPr>
          <w:rFonts w:cstheme="minorHAnsi"/>
        </w:rPr>
        <w:t>Reg</w:t>
      </w:r>
      <w:proofErr w:type="spellEnd"/>
      <w:r w:rsidR="00D675EB" w:rsidRPr="005643FA">
        <w:rPr>
          <w:rFonts w:cstheme="minorHAnsi"/>
        </w:rPr>
        <w:t xml:space="preserve"> 76 (</w:t>
      </w:r>
      <w:r w:rsidR="00F93F0F" w:rsidRPr="005643FA">
        <w:rPr>
          <w:rFonts w:cstheme="minorHAnsi"/>
          <w:bCs/>
          <w:iCs/>
        </w:rPr>
        <w:t>Fees</w:t>
      </w:r>
      <w:r w:rsidR="00F93F0F" w:rsidRPr="005643FA">
        <w:rPr>
          <w:rFonts w:cstheme="minorHAnsi"/>
        </w:rPr>
        <w:t xml:space="preserve">) </w:t>
      </w:r>
      <w:r w:rsidRPr="005643FA">
        <w:rPr>
          <w:rFonts w:cstheme="minorHAnsi"/>
        </w:rPr>
        <w:t xml:space="preserve">under the </w:t>
      </w:r>
      <w:r w:rsidRPr="005643FA">
        <w:rPr>
          <w:rFonts w:cstheme="minorHAnsi"/>
          <w:i/>
        </w:rPr>
        <w:t>Commissioners for Taking Affidavits Act</w:t>
      </w:r>
      <w:r w:rsidRPr="005643FA">
        <w:rPr>
          <w:rFonts w:cstheme="minorHAnsi"/>
        </w:rPr>
        <w:t xml:space="preserve"> that exempts employees of approved agencies under the </w:t>
      </w:r>
      <w:r w:rsidRPr="005643FA">
        <w:rPr>
          <w:rFonts w:cstheme="minorHAnsi"/>
          <w:i/>
        </w:rPr>
        <w:t>Child and Family Services Act</w:t>
      </w:r>
      <w:r w:rsidRPr="005643FA">
        <w:rPr>
          <w:rFonts w:cstheme="minorHAnsi"/>
        </w:rPr>
        <w:t xml:space="preserve"> from fees for appointment or renewal of appointment to be a commissioner where the request is made by the Ministry of</w:t>
      </w:r>
      <w:r w:rsidR="009F7AED">
        <w:rPr>
          <w:rFonts w:cstheme="minorHAnsi"/>
        </w:rPr>
        <w:t xml:space="preserve"> Community and Social Services.</w:t>
      </w:r>
      <w:r w:rsidRPr="005643FA">
        <w:rPr>
          <w:rFonts w:cstheme="minorHAnsi"/>
        </w:rPr>
        <w:t xml:space="preserve"> This exemption provision would be amended to apply to children’s aid societies under the </w:t>
      </w:r>
      <w:r w:rsidRPr="005643FA">
        <w:rPr>
          <w:rFonts w:cstheme="minorHAnsi"/>
          <w:i/>
        </w:rPr>
        <w:t>Child, Youth and Family Services Act, 2017</w:t>
      </w:r>
      <w:r w:rsidRPr="005643FA">
        <w:rPr>
          <w:rFonts w:cstheme="minorHAnsi"/>
        </w:rPr>
        <w:t xml:space="preserve"> where the appointment or renewal of appointment is made upon the request of the Ministry </w:t>
      </w:r>
      <w:r w:rsidR="00D83913">
        <w:rPr>
          <w:rFonts w:cstheme="minorHAnsi"/>
        </w:rPr>
        <w:t>of Children and Youth Services.</w:t>
      </w:r>
      <w:r w:rsidRPr="005643FA">
        <w:rPr>
          <w:rFonts w:cstheme="minorHAnsi"/>
        </w:rPr>
        <w:t xml:space="preserve"> The concept of “approved agencies” under the </w:t>
      </w:r>
      <w:r w:rsidRPr="005643FA">
        <w:rPr>
          <w:rFonts w:cstheme="minorHAnsi"/>
          <w:i/>
        </w:rPr>
        <w:t>Child and Family Services Act</w:t>
      </w:r>
      <w:r w:rsidRPr="005643FA">
        <w:rPr>
          <w:rFonts w:cstheme="minorHAnsi"/>
        </w:rPr>
        <w:t xml:space="preserve">, of which children’s aid societies are a subset, has been removed under the </w:t>
      </w:r>
      <w:r w:rsidRPr="005643FA">
        <w:rPr>
          <w:rFonts w:cstheme="minorHAnsi"/>
          <w:i/>
        </w:rPr>
        <w:t>Child, Youth and Family Services Act, 2017</w:t>
      </w:r>
      <w:r w:rsidRPr="005643FA">
        <w:rPr>
          <w:rFonts w:cstheme="minorHAnsi"/>
        </w:rPr>
        <w:t xml:space="preserve">.  No changes to the scope of this regulation are intended from this consequential amendment. </w:t>
      </w:r>
    </w:p>
    <w:p w:rsidR="00AC5A6D" w:rsidRPr="005643FA" w:rsidRDefault="00AC5A6D" w:rsidP="00AC5A6D">
      <w:pPr>
        <w:rPr>
          <w:rFonts w:cstheme="minorHAnsi"/>
          <w:lang w:val="en-US"/>
        </w:rPr>
      </w:pPr>
      <w:r w:rsidRPr="005643FA">
        <w:rPr>
          <w:rFonts w:cstheme="minorHAnsi"/>
          <w:lang w:val="en-US"/>
        </w:rPr>
        <w:t xml:space="preserve">Consequential amendments are proposed to O </w:t>
      </w:r>
      <w:proofErr w:type="spellStart"/>
      <w:r w:rsidRPr="005643FA">
        <w:rPr>
          <w:rFonts w:cstheme="minorHAnsi"/>
          <w:lang w:val="en-US"/>
        </w:rPr>
        <w:t>Reg</w:t>
      </w:r>
      <w:proofErr w:type="spellEnd"/>
      <w:r w:rsidRPr="005643FA">
        <w:rPr>
          <w:rFonts w:cstheme="minorHAnsi"/>
          <w:lang w:val="en-US"/>
        </w:rPr>
        <w:t xml:space="preserve"> 444/98, (Disposition of Surplus Real Property) under the </w:t>
      </w:r>
      <w:r w:rsidRPr="005643FA">
        <w:rPr>
          <w:rFonts w:cstheme="minorHAnsi"/>
          <w:i/>
          <w:lang w:val="en-US"/>
        </w:rPr>
        <w:t>Education Act</w:t>
      </w:r>
      <w:r w:rsidRPr="005643FA">
        <w:rPr>
          <w:rFonts w:cstheme="minorHAnsi"/>
          <w:lang w:val="en-US"/>
        </w:rPr>
        <w:t xml:space="preserve">. The terms “approved agencies” and “approved corporations” will be replaced, as those concepts no longer exist under the Child, Youth and Family Services Act, 2017. Lead Agencies will </w:t>
      </w:r>
      <w:r w:rsidRPr="005643FA">
        <w:rPr>
          <w:rFonts w:cstheme="minorHAnsi"/>
          <w:lang w:val="en-US"/>
        </w:rPr>
        <w:lastRenderedPageBreak/>
        <w:t xml:space="preserve">be permitted to share proposals with Ministry of Children and Youth funded child and youth mental </w:t>
      </w:r>
      <w:proofErr w:type="gramStart"/>
      <w:r w:rsidRPr="005643FA">
        <w:rPr>
          <w:rFonts w:cstheme="minorHAnsi"/>
          <w:lang w:val="en-US"/>
        </w:rPr>
        <w:t>health</w:t>
      </w:r>
      <w:proofErr w:type="gramEnd"/>
      <w:r w:rsidRPr="005643FA">
        <w:rPr>
          <w:rFonts w:cstheme="minorHAnsi"/>
          <w:lang w:val="en-US"/>
        </w:rPr>
        <w:t xml:space="preserve"> service providers in the service area in which the property is located.  </w:t>
      </w:r>
    </w:p>
    <w:p w:rsidR="003B3F6F" w:rsidRPr="005643FA" w:rsidRDefault="003B3F6F" w:rsidP="003B3F6F">
      <w:pPr>
        <w:rPr>
          <w:rFonts w:cstheme="minorHAnsi"/>
          <w:b/>
        </w:rPr>
      </w:pPr>
      <w:r w:rsidRPr="005643FA">
        <w:rPr>
          <w:rFonts w:cstheme="minorHAnsi"/>
          <w:b/>
        </w:rPr>
        <w:t xml:space="preserve">CHANGES TO REFLECT REVISED DEFINITION OF “SERVICE” UNDER CYFSA </w:t>
      </w:r>
    </w:p>
    <w:p w:rsidR="00F268A2" w:rsidRDefault="00F268A2" w:rsidP="00F268A2">
      <w:pPr>
        <w:rPr>
          <w:rFonts w:cstheme="minorHAnsi"/>
          <w:lang w:val="en-GB"/>
        </w:rPr>
      </w:pPr>
      <w:r w:rsidRPr="005643FA">
        <w:rPr>
          <w:rFonts w:cstheme="minorHAnsi"/>
          <w:lang w:val="en-GB"/>
        </w:rPr>
        <w:t xml:space="preserve">A consequential amendment is proposed to one of the provisions in the application section of O </w:t>
      </w:r>
      <w:proofErr w:type="spellStart"/>
      <w:r w:rsidRPr="005643FA">
        <w:rPr>
          <w:rFonts w:cstheme="minorHAnsi"/>
          <w:lang w:val="en-GB"/>
        </w:rPr>
        <w:t>Reg</w:t>
      </w:r>
      <w:proofErr w:type="spellEnd"/>
      <w:r w:rsidRPr="005643FA">
        <w:rPr>
          <w:rFonts w:cstheme="minorHAnsi"/>
          <w:lang w:val="en-GB"/>
        </w:rPr>
        <w:t xml:space="preserve"> 67/93 (Health Care and Residential Facilities) under the </w:t>
      </w:r>
      <w:r w:rsidRPr="006326C1">
        <w:rPr>
          <w:rFonts w:cstheme="minorHAnsi"/>
          <w:i/>
          <w:lang w:val="en-GB"/>
        </w:rPr>
        <w:t>Occupational Health and Safety Act</w:t>
      </w:r>
      <w:r w:rsidRPr="005643FA">
        <w:rPr>
          <w:rFonts w:cstheme="minorHAnsi"/>
          <w:lang w:val="en-GB"/>
        </w:rPr>
        <w:t xml:space="preserve">.  This provision </w:t>
      </w:r>
      <w:r w:rsidR="006326C1">
        <w:rPr>
          <w:rFonts w:cstheme="minorHAnsi"/>
          <w:lang w:val="en-GB"/>
        </w:rPr>
        <w:t>specifies that the regulation applies in</w:t>
      </w:r>
      <w:r w:rsidRPr="005643FA">
        <w:rPr>
          <w:rFonts w:cstheme="minorHAnsi"/>
          <w:lang w:val="en-GB"/>
        </w:rPr>
        <w:t xml:space="preserve"> facilities where certain services under the </w:t>
      </w:r>
      <w:r w:rsidRPr="006326C1">
        <w:rPr>
          <w:rFonts w:cstheme="minorHAnsi"/>
          <w:i/>
          <w:lang w:val="en-GB"/>
        </w:rPr>
        <w:t>Child and Family Services Act</w:t>
      </w:r>
      <w:r w:rsidRPr="005643FA">
        <w:rPr>
          <w:rFonts w:cstheme="minorHAnsi"/>
          <w:lang w:val="en-GB"/>
        </w:rPr>
        <w:t xml:space="preserve"> </w:t>
      </w:r>
      <w:r w:rsidR="006326C1">
        <w:rPr>
          <w:rFonts w:cstheme="minorHAnsi"/>
          <w:lang w:val="en-GB"/>
        </w:rPr>
        <w:t xml:space="preserve">and its regulations </w:t>
      </w:r>
      <w:r w:rsidRPr="005643FA">
        <w:rPr>
          <w:rFonts w:cstheme="minorHAnsi"/>
          <w:lang w:val="en-GB"/>
        </w:rPr>
        <w:t xml:space="preserve">are provided. </w:t>
      </w:r>
      <w:bookmarkStart w:id="0" w:name="_GoBack"/>
      <w:bookmarkEnd w:id="0"/>
      <w:r w:rsidRPr="005643FA">
        <w:rPr>
          <w:rFonts w:cstheme="minorHAnsi"/>
          <w:lang w:val="en-GB"/>
        </w:rPr>
        <w:t xml:space="preserve">The provision would be amended to reflect changes resulting from an updated definition of “service” under the </w:t>
      </w:r>
      <w:r w:rsidRPr="006326C1">
        <w:rPr>
          <w:rFonts w:cstheme="minorHAnsi"/>
          <w:i/>
          <w:lang w:val="en-GB"/>
        </w:rPr>
        <w:t>Child, Youth and Family Services Act, 2017</w:t>
      </w:r>
      <w:r w:rsidRPr="005643FA">
        <w:rPr>
          <w:rFonts w:cstheme="minorHAnsi"/>
          <w:lang w:val="en-GB"/>
        </w:rPr>
        <w:t xml:space="preserve">.  No changes to the scope of the application of the </w:t>
      </w:r>
      <w:r w:rsidRPr="006326C1">
        <w:rPr>
          <w:rFonts w:cstheme="minorHAnsi"/>
          <w:i/>
          <w:lang w:val="en-GB"/>
        </w:rPr>
        <w:t>Occupational Health and Safety Act</w:t>
      </w:r>
      <w:r w:rsidRPr="005643FA">
        <w:rPr>
          <w:rFonts w:cstheme="minorHAnsi"/>
          <w:lang w:val="en-GB"/>
        </w:rPr>
        <w:t xml:space="preserve"> or O </w:t>
      </w:r>
      <w:proofErr w:type="spellStart"/>
      <w:r w:rsidRPr="005643FA">
        <w:rPr>
          <w:rFonts w:cstheme="minorHAnsi"/>
          <w:lang w:val="en-GB"/>
        </w:rPr>
        <w:t>Reg</w:t>
      </w:r>
      <w:proofErr w:type="spellEnd"/>
      <w:r w:rsidRPr="005643FA">
        <w:rPr>
          <w:rFonts w:cstheme="minorHAnsi"/>
          <w:lang w:val="en-GB"/>
        </w:rPr>
        <w:t xml:space="preserve"> 67/93 would result from these proposed consequential amendments.  </w:t>
      </w:r>
    </w:p>
    <w:p w:rsidR="006326C1" w:rsidRPr="006E2E61" w:rsidRDefault="006326C1" w:rsidP="006326C1">
      <w:pPr>
        <w:rPr>
          <w:rFonts w:ascii="Calibri" w:eastAsia="Calibri" w:hAnsi="Calibri" w:cs="Calibri"/>
        </w:rPr>
      </w:pPr>
      <w:r w:rsidRPr="006E2E61">
        <w:rPr>
          <w:rFonts w:ascii="Calibri" w:eastAsia="Calibri" w:hAnsi="Calibri" w:cs="Calibri"/>
        </w:rPr>
        <w:t xml:space="preserve">Consequential amendments are proposed to the definition of “children and youth care facility” in O </w:t>
      </w:r>
      <w:proofErr w:type="spellStart"/>
      <w:proofErr w:type="gramStart"/>
      <w:r w:rsidRPr="006E2E61">
        <w:rPr>
          <w:rFonts w:ascii="Calibri" w:eastAsia="Calibri" w:hAnsi="Calibri" w:cs="Calibri"/>
        </w:rPr>
        <w:t>Reg</w:t>
      </w:r>
      <w:proofErr w:type="spellEnd"/>
      <w:r w:rsidRPr="006E2E61">
        <w:rPr>
          <w:rFonts w:ascii="Calibri" w:eastAsia="Calibri" w:hAnsi="Calibri" w:cs="Calibri"/>
        </w:rPr>
        <w:t xml:space="preserve"> </w:t>
      </w:r>
      <w:r w:rsidRPr="006E2E61">
        <w:rPr>
          <w:rFonts w:ascii="Calibri" w:eastAsia="Calibri" w:hAnsi="Calibri" w:cs="Calibri"/>
          <w:lang w:val="en-GB"/>
        </w:rPr>
        <w:t> 170</w:t>
      </w:r>
      <w:proofErr w:type="gramEnd"/>
      <w:r w:rsidRPr="006E2E61">
        <w:rPr>
          <w:rFonts w:ascii="Calibri" w:eastAsia="Calibri" w:hAnsi="Calibri" w:cs="Calibri"/>
          <w:lang w:val="en-GB"/>
        </w:rPr>
        <w:t xml:space="preserve">/03 (Drinking Water Systems) under the </w:t>
      </w:r>
      <w:r w:rsidRPr="006E2E61">
        <w:rPr>
          <w:rFonts w:ascii="Calibri" w:eastAsia="Calibri" w:hAnsi="Calibri" w:cs="Calibri"/>
          <w:i/>
          <w:iCs/>
          <w:lang w:val="en-GB"/>
        </w:rPr>
        <w:t xml:space="preserve">Safe Drinking Water Act, 2002, </w:t>
      </w:r>
      <w:r w:rsidRPr="006E2E61">
        <w:rPr>
          <w:rFonts w:ascii="Calibri" w:eastAsia="Calibri" w:hAnsi="Calibri" w:cs="Calibri"/>
          <w:lang w:val="en-GB"/>
        </w:rPr>
        <w:t xml:space="preserve">to update the reference from the </w:t>
      </w:r>
      <w:r w:rsidRPr="006E2E61">
        <w:rPr>
          <w:rFonts w:ascii="Calibri" w:eastAsia="Calibri" w:hAnsi="Calibri" w:cs="Calibri"/>
          <w:i/>
          <w:iCs/>
          <w:lang w:val="en-GB"/>
        </w:rPr>
        <w:t xml:space="preserve">Child and Family Services Act </w:t>
      </w:r>
      <w:r w:rsidRPr="006E2E61">
        <w:rPr>
          <w:rFonts w:ascii="Calibri" w:eastAsia="Calibri" w:hAnsi="Calibri" w:cs="Calibri"/>
          <w:lang w:val="en-GB"/>
        </w:rPr>
        <w:t xml:space="preserve">to the </w:t>
      </w:r>
      <w:r w:rsidRPr="006E2E61">
        <w:rPr>
          <w:rFonts w:ascii="Calibri" w:eastAsia="Calibri" w:hAnsi="Calibri" w:cs="Calibri"/>
          <w:i/>
          <w:iCs/>
          <w:lang w:val="en-GB"/>
        </w:rPr>
        <w:t xml:space="preserve">Child, Youth and Family Services Act, 2017, </w:t>
      </w:r>
      <w:r w:rsidRPr="006E2E61">
        <w:rPr>
          <w:rFonts w:ascii="Calibri" w:eastAsia="Calibri" w:hAnsi="Calibri" w:cs="Calibri"/>
          <w:lang w:val="en-GB"/>
        </w:rPr>
        <w:t xml:space="preserve">and to reflect changes to the definition of “service” under the </w:t>
      </w:r>
      <w:r w:rsidRPr="006E2E61">
        <w:rPr>
          <w:rFonts w:ascii="Calibri" w:eastAsia="Calibri" w:hAnsi="Calibri" w:cs="Calibri"/>
          <w:i/>
          <w:iCs/>
          <w:lang w:val="en-GB"/>
        </w:rPr>
        <w:t>Child, Youth, and Family Services Act, 2017.  </w:t>
      </w:r>
      <w:r w:rsidRPr="006E2E61">
        <w:rPr>
          <w:rFonts w:ascii="Calibri" w:eastAsia="Calibri" w:hAnsi="Calibri" w:cs="Calibri"/>
          <w:lang w:val="en-GB"/>
        </w:rPr>
        <w:t xml:space="preserve"> No changes to the scope of the application of the </w:t>
      </w:r>
      <w:r w:rsidRPr="006E2E61">
        <w:rPr>
          <w:rFonts w:ascii="Calibri" w:eastAsia="Calibri" w:hAnsi="Calibri" w:cs="Calibri"/>
          <w:i/>
          <w:iCs/>
          <w:lang w:val="en-GB"/>
        </w:rPr>
        <w:t>Safe Drinking Water Act, 2002</w:t>
      </w:r>
      <w:r w:rsidRPr="006E2E61">
        <w:rPr>
          <w:rFonts w:ascii="Calibri" w:eastAsia="Calibri" w:hAnsi="Calibri" w:cs="Calibri"/>
          <w:lang w:val="en-GB"/>
        </w:rPr>
        <w:t xml:space="preserve"> or O </w:t>
      </w:r>
      <w:proofErr w:type="spellStart"/>
      <w:r w:rsidRPr="006E2E61">
        <w:rPr>
          <w:rFonts w:ascii="Calibri" w:eastAsia="Calibri" w:hAnsi="Calibri" w:cs="Calibri"/>
          <w:lang w:val="en-GB"/>
        </w:rPr>
        <w:t>Reg</w:t>
      </w:r>
      <w:proofErr w:type="spellEnd"/>
      <w:r w:rsidRPr="006E2E61">
        <w:rPr>
          <w:rFonts w:ascii="Calibri" w:eastAsia="Calibri" w:hAnsi="Calibri" w:cs="Calibri"/>
          <w:lang w:val="en-GB"/>
        </w:rPr>
        <w:t xml:space="preserve"> 170/03 would result from these proposed consequential amendments. </w:t>
      </w:r>
    </w:p>
    <w:p w:rsidR="002F4A2F" w:rsidRPr="005643FA" w:rsidRDefault="002F4A2F" w:rsidP="007F0B22">
      <w:pPr>
        <w:rPr>
          <w:rFonts w:cstheme="minorHAnsi"/>
          <w:b/>
          <w:lang w:val="en-GB"/>
        </w:rPr>
      </w:pPr>
      <w:r w:rsidRPr="005643FA">
        <w:rPr>
          <w:rFonts w:cstheme="minorHAnsi"/>
          <w:b/>
          <w:lang w:val="en-GB"/>
        </w:rPr>
        <w:t>OTHER CHANGES</w:t>
      </w:r>
    </w:p>
    <w:p w:rsidR="006968A0" w:rsidRPr="005643FA" w:rsidRDefault="006968A0" w:rsidP="006968A0">
      <w:pPr>
        <w:rPr>
          <w:rFonts w:cstheme="minorHAnsi"/>
        </w:rPr>
      </w:pPr>
      <w:r w:rsidRPr="005643FA">
        <w:rPr>
          <w:rFonts w:cstheme="minorHAnsi"/>
        </w:rPr>
        <w:t xml:space="preserve">Consequential amendments are proposed to </w:t>
      </w:r>
      <w:r w:rsidR="00B27611" w:rsidRPr="005643FA">
        <w:rPr>
          <w:rFonts w:cstheme="minorHAnsi"/>
        </w:rPr>
        <w:t xml:space="preserve">RRO </w:t>
      </w:r>
      <w:r w:rsidR="007F7085" w:rsidRPr="005643FA">
        <w:rPr>
          <w:rFonts w:cstheme="minorHAnsi"/>
        </w:rPr>
        <w:t xml:space="preserve">1990, </w:t>
      </w:r>
      <w:proofErr w:type="spellStart"/>
      <w:r w:rsidR="007F7085" w:rsidRPr="005643FA">
        <w:rPr>
          <w:rFonts w:cstheme="minorHAnsi"/>
        </w:rPr>
        <w:t>Reg</w:t>
      </w:r>
      <w:proofErr w:type="spellEnd"/>
      <w:r w:rsidRPr="005643FA">
        <w:rPr>
          <w:rFonts w:cstheme="minorHAnsi"/>
        </w:rPr>
        <w:t xml:space="preserve"> 909, </w:t>
      </w:r>
      <w:r w:rsidR="00EA08EE" w:rsidRPr="005643FA">
        <w:rPr>
          <w:rFonts w:cstheme="minorHAnsi"/>
        </w:rPr>
        <w:t>(</w:t>
      </w:r>
      <w:r w:rsidRPr="005643FA">
        <w:rPr>
          <w:rFonts w:cstheme="minorHAnsi"/>
        </w:rPr>
        <w:t>General</w:t>
      </w:r>
      <w:r w:rsidR="00EA08EE" w:rsidRPr="005643FA">
        <w:rPr>
          <w:rFonts w:cstheme="minorHAnsi"/>
        </w:rPr>
        <w:t>)</w:t>
      </w:r>
      <w:r w:rsidRPr="005643FA">
        <w:rPr>
          <w:rFonts w:cstheme="minorHAnsi"/>
        </w:rPr>
        <w:t xml:space="preserve">, under the </w:t>
      </w:r>
      <w:r w:rsidRPr="005643FA">
        <w:rPr>
          <w:rFonts w:cstheme="minorHAnsi"/>
          <w:i/>
        </w:rPr>
        <w:t>Pension Benefits Act</w:t>
      </w:r>
      <w:r w:rsidRPr="005643FA">
        <w:rPr>
          <w:rFonts w:cstheme="minorHAnsi"/>
        </w:rPr>
        <w:t xml:space="preserve">, to </w:t>
      </w:r>
      <w:r w:rsidRPr="005643FA">
        <w:rPr>
          <w:rFonts w:cstheme="minorHAnsi"/>
          <w:lang w:val="en-GB"/>
        </w:rPr>
        <w:t xml:space="preserve">update the references from the </w:t>
      </w:r>
      <w:r w:rsidRPr="005643FA">
        <w:rPr>
          <w:rFonts w:cstheme="minorHAnsi"/>
          <w:i/>
          <w:iCs/>
          <w:lang w:val="en-GB"/>
        </w:rPr>
        <w:t xml:space="preserve">Child and Family Services Act </w:t>
      </w:r>
      <w:r w:rsidRPr="005643FA">
        <w:rPr>
          <w:rFonts w:cstheme="minorHAnsi"/>
          <w:lang w:val="en-GB"/>
        </w:rPr>
        <w:t xml:space="preserve">to the </w:t>
      </w:r>
      <w:r w:rsidRPr="005643FA">
        <w:rPr>
          <w:rFonts w:cstheme="minorHAnsi"/>
          <w:i/>
          <w:iCs/>
          <w:lang w:val="en-GB"/>
        </w:rPr>
        <w:t>Child, Youth and Family Services Act, 2017.</w:t>
      </w:r>
      <w:r w:rsidRPr="005643FA">
        <w:rPr>
          <w:rFonts w:cstheme="minorHAnsi"/>
          <w:iCs/>
          <w:lang w:val="en-GB"/>
        </w:rPr>
        <w:t xml:space="preserve"> As well, </w:t>
      </w:r>
      <w:r w:rsidRPr="005643FA">
        <w:rPr>
          <w:rFonts w:cstheme="minorHAnsi"/>
        </w:rPr>
        <w:t xml:space="preserve">new language is proposed to more accurately describe the nature of the payments received by foster parents that are not included in </w:t>
      </w:r>
      <w:r w:rsidR="00100167" w:rsidRPr="005643FA">
        <w:rPr>
          <w:rFonts w:cstheme="minorHAnsi"/>
        </w:rPr>
        <w:t xml:space="preserve">the </w:t>
      </w:r>
      <w:r w:rsidRPr="005643FA">
        <w:rPr>
          <w:rFonts w:cstheme="minorHAnsi"/>
        </w:rPr>
        <w:t>calculation of expected total income from all sources before taxes</w:t>
      </w:r>
      <w:r w:rsidR="0022409D">
        <w:rPr>
          <w:rFonts w:cstheme="minorHAnsi"/>
        </w:rPr>
        <w:t xml:space="preserve"> in certain circumstances</w:t>
      </w:r>
      <w:r w:rsidRPr="005643FA">
        <w:rPr>
          <w:rFonts w:cstheme="minorHAnsi"/>
        </w:rPr>
        <w:t>. No changes to the scope of the application of the Pe</w:t>
      </w:r>
      <w:r w:rsidR="007F7085" w:rsidRPr="005643FA">
        <w:rPr>
          <w:rFonts w:cstheme="minorHAnsi"/>
        </w:rPr>
        <w:t xml:space="preserve">nsion Benefits Act or </w:t>
      </w:r>
      <w:proofErr w:type="spellStart"/>
      <w:r w:rsidR="007F7085" w:rsidRPr="005643FA">
        <w:rPr>
          <w:rFonts w:cstheme="minorHAnsi"/>
        </w:rPr>
        <w:t>Reg</w:t>
      </w:r>
      <w:proofErr w:type="spellEnd"/>
      <w:r w:rsidRPr="005643FA">
        <w:rPr>
          <w:rFonts w:cstheme="minorHAnsi"/>
        </w:rPr>
        <w:t xml:space="preserve"> 909 would result from these proposed consequential amendments.  </w:t>
      </w:r>
    </w:p>
    <w:p w:rsidR="0079174A" w:rsidRPr="00A375E6" w:rsidRDefault="00E55562" w:rsidP="0079174A">
      <w:pPr>
        <w:rPr>
          <w:rFonts w:cstheme="minorHAnsi"/>
        </w:rPr>
      </w:pPr>
      <w:r w:rsidRPr="005643FA">
        <w:rPr>
          <w:rFonts w:cstheme="minorHAnsi"/>
        </w:rPr>
        <w:t xml:space="preserve">Consequential amendments are proposed to the </w:t>
      </w:r>
      <w:r w:rsidR="00B033DB" w:rsidRPr="005643FA">
        <w:rPr>
          <w:rFonts w:cstheme="minorHAnsi"/>
        </w:rPr>
        <w:t xml:space="preserve">O </w:t>
      </w:r>
      <w:proofErr w:type="spellStart"/>
      <w:r w:rsidR="00B033DB" w:rsidRPr="005643FA">
        <w:rPr>
          <w:rFonts w:cstheme="minorHAnsi"/>
        </w:rPr>
        <w:t>Reg</w:t>
      </w:r>
      <w:proofErr w:type="spellEnd"/>
      <w:r w:rsidRPr="005643FA">
        <w:rPr>
          <w:rFonts w:cstheme="minorHAnsi"/>
        </w:rPr>
        <w:t xml:space="preserve"> 75/08, </w:t>
      </w:r>
      <w:r w:rsidR="00285A56" w:rsidRPr="005643FA">
        <w:rPr>
          <w:rFonts w:cstheme="minorHAnsi"/>
        </w:rPr>
        <w:t>(Designations)</w:t>
      </w:r>
      <w:r w:rsidRPr="005643FA">
        <w:rPr>
          <w:rFonts w:cstheme="minorHAnsi"/>
        </w:rPr>
        <w:t xml:space="preserve"> under the </w:t>
      </w:r>
      <w:r w:rsidRPr="005643FA">
        <w:rPr>
          <w:rFonts w:cstheme="minorHAnsi"/>
          <w:i/>
          <w:iCs/>
        </w:rPr>
        <w:t>Regulatory Modernization Act, 2007</w:t>
      </w:r>
      <w:r w:rsidRPr="005643FA">
        <w:rPr>
          <w:rFonts w:cstheme="minorHAnsi"/>
          <w:lang w:val="en-GB"/>
        </w:rPr>
        <w:t xml:space="preserve"> to change the designation of particular sections of the </w:t>
      </w:r>
      <w:r w:rsidRPr="005643FA">
        <w:rPr>
          <w:rFonts w:cstheme="minorHAnsi"/>
          <w:i/>
          <w:iCs/>
          <w:lang w:val="en-GB"/>
        </w:rPr>
        <w:t xml:space="preserve">Child and Family Services Act </w:t>
      </w:r>
      <w:r w:rsidRPr="005643FA">
        <w:rPr>
          <w:rFonts w:cstheme="minorHAnsi"/>
          <w:iCs/>
          <w:lang w:val="en-GB"/>
        </w:rPr>
        <w:t>and its General regulation</w:t>
      </w:r>
      <w:r w:rsidRPr="005643FA">
        <w:rPr>
          <w:rFonts w:cstheme="minorHAnsi"/>
          <w:i/>
          <w:iCs/>
          <w:lang w:val="en-GB"/>
        </w:rPr>
        <w:t xml:space="preserve"> </w:t>
      </w:r>
      <w:r w:rsidRPr="005643FA">
        <w:rPr>
          <w:rFonts w:cstheme="minorHAnsi"/>
          <w:lang w:val="en-GB"/>
        </w:rPr>
        <w:t xml:space="preserve">under Schedules A (Information Sharing) and B (Publication), to designation of the whole of the </w:t>
      </w:r>
      <w:r w:rsidRPr="005643FA">
        <w:rPr>
          <w:rFonts w:cstheme="minorHAnsi"/>
          <w:i/>
          <w:iCs/>
          <w:lang w:val="en-GB"/>
        </w:rPr>
        <w:t xml:space="preserve">Child, Youth and Family Services Act, 2017 </w:t>
      </w:r>
      <w:r w:rsidRPr="005643FA">
        <w:rPr>
          <w:rFonts w:cstheme="minorHAnsi"/>
          <w:lang w:val="en-GB"/>
        </w:rPr>
        <w:t xml:space="preserve">and all its regulations under Schedules A and B. An amendment would also be made to add the whole of the </w:t>
      </w:r>
      <w:r w:rsidRPr="005643FA">
        <w:rPr>
          <w:rFonts w:cstheme="minorHAnsi"/>
          <w:i/>
          <w:iCs/>
          <w:lang w:val="en-GB"/>
        </w:rPr>
        <w:t xml:space="preserve">Child, Youth and Family Services Act, 2017 </w:t>
      </w:r>
      <w:r w:rsidRPr="005643FA">
        <w:rPr>
          <w:rFonts w:cstheme="minorHAnsi"/>
          <w:lang w:val="en-GB"/>
        </w:rPr>
        <w:t>and all its regulations to Schedule C (Multiple Authorizations).</w:t>
      </w:r>
      <w:r w:rsidRPr="00A375E6">
        <w:rPr>
          <w:rFonts w:cstheme="minorHAnsi"/>
          <w:lang w:val="en-GB"/>
        </w:rPr>
        <w:t xml:space="preserve">  </w:t>
      </w:r>
    </w:p>
    <w:p w:rsidR="0079174A" w:rsidRPr="00A375E6" w:rsidRDefault="0079174A" w:rsidP="0079174A">
      <w:pPr>
        <w:rPr>
          <w:rFonts w:cstheme="minorHAnsi"/>
        </w:rPr>
      </w:pPr>
    </w:p>
    <w:sectPr w:rsidR="0079174A" w:rsidRPr="00A37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BA" w:rsidRDefault="00874BBA" w:rsidP="001B5804">
      <w:pPr>
        <w:spacing w:after="0" w:line="240" w:lineRule="auto"/>
      </w:pPr>
      <w:r>
        <w:separator/>
      </w:r>
    </w:p>
  </w:endnote>
  <w:endnote w:type="continuationSeparator" w:id="0">
    <w:p w:rsidR="00874BBA" w:rsidRDefault="00874BBA" w:rsidP="001B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04" w:rsidRDefault="001B58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655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804" w:rsidRDefault="001B58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E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5804" w:rsidRDefault="001B58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04" w:rsidRDefault="001B5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BA" w:rsidRDefault="00874BBA" w:rsidP="001B5804">
      <w:pPr>
        <w:spacing w:after="0" w:line="240" w:lineRule="auto"/>
      </w:pPr>
      <w:r>
        <w:separator/>
      </w:r>
    </w:p>
  </w:footnote>
  <w:footnote w:type="continuationSeparator" w:id="0">
    <w:p w:rsidR="00874BBA" w:rsidRDefault="00874BBA" w:rsidP="001B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04" w:rsidRDefault="001B58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04" w:rsidRDefault="001B58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04" w:rsidRDefault="001B58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96B"/>
    <w:multiLevelType w:val="hybridMultilevel"/>
    <w:tmpl w:val="C1CE98AC"/>
    <w:lvl w:ilvl="0" w:tplc="4510C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70BF"/>
    <w:multiLevelType w:val="hybridMultilevel"/>
    <w:tmpl w:val="630AEFF2"/>
    <w:lvl w:ilvl="0" w:tplc="4510C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14C88"/>
    <w:multiLevelType w:val="hybridMultilevel"/>
    <w:tmpl w:val="DA50CC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4A"/>
    <w:rsid w:val="000345BA"/>
    <w:rsid w:val="00040C26"/>
    <w:rsid w:val="00043CF0"/>
    <w:rsid w:val="00044F6A"/>
    <w:rsid w:val="00052074"/>
    <w:rsid w:val="00055784"/>
    <w:rsid w:val="000572E6"/>
    <w:rsid w:val="00076299"/>
    <w:rsid w:val="00080C7E"/>
    <w:rsid w:val="0008205F"/>
    <w:rsid w:val="00093ED8"/>
    <w:rsid w:val="00097525"/>
    <w:rsid w:val="000A5181"/>
    <w:rsid w:val="000B6C5D"/>
    <w:rsid w:val="000D1D1B"/>
    <w:rsid w:val="000D341D"/>
    <w:rsid w:val="000D4DB8"/>
    <w:rsid w:val="000E2A50"/>
    <w:rsid w:val="000E318C"/>
    <w:rsid w:val="000F001B"/>
    <w:rsid w:val="000F5603"/>
    <w:rsid w:val="000F79A3"/>
    <w:rsid w:val="00100167"/>
    <w:rsid w:val="001034CC"/>
    <w:rsid w:val="001104DC"/>
    <w:rsid w:val="00112580"/>
    <w:rsid w:val="00120BF9"/>
    <w:rsid w:val="00133644"/>
    <w:rsid w:val="001352DC"/>
    <w:rsid w:val="001360C1"/>
    <w:rsid w:val="001379A3"/>
    <w:rsid w:val="00146B21"/>
    <w:rsid w:val="00167DF6"/>
    <w:rsid w:val="00181880"/>
    <w:rsid w:val="001854CE"/>
    <w:rsid w:val="00186035"/>
    <w:rsid w:val="0018624C"/>
    <w:rsid w:val="00190146"/>
    <w:rsid w:val="00195B18"/>
    <w:rsid w:val="001B1CC4"/>
    <w:rsid w:val="001B5804"/>
    <w:rsid w:val="001B6EA1"/>
    <w:rsid w:val="001B7398"/>
    <w:rsid w:val="001C4AFD"/>
    <w:rsid w:val="001D620A"/>
    <w:rsid w:val="001D765D"/>
    <w:rsid w:val="001E2401"/>
    <w:rsid w:val="001F11F1"/>
    <w:rsid w:val="00205A05"/>
    <w:rsid w:val="00205F3A"/>
    <w:rsid w:val="002104C9"/>
    <w:rsid w:val="002168A5"/>
    <w:rsid w:val="0022409D"/>
    <w:rsid w:val="002412CB"/>
    <w:rsid w:val="00241BF6"/>
    <w:rsid w:val="00255AEB"/>
    <w:rsid w:val="002641ED"/>
    <w:rsid w:val="002644A6"/>
    <w:rsid w:val="00274850"/>
    <w:rsid w:val="00276C17"/>
    <w:rsid w:val="00285A56"/>
    <w:rsid w:val="002966AE"/>
    <w:rsid w:val="002A11EE"/>
    <w:rsid w:val="002A1635"/>
    <w:rsid w:val="002C02AA"/>
    <w:rsid w:val="002C5BBB"/>
    <w:rsid w:val="002E7181"/>
    <w:rsid w:val="002E7BA3"/>
    <w:rsid w:val="002F4A2F"/>
    <w:rsid w:val="00303084"/>
    <w:rsid w:val="0031054A"/>
    <w:rsid w:val="00323088"/>
    <w:rsid w:val="003348CB"/>
    <w:rsid w:val="00345216"/>
    <w:rsid w:val="00351954"/>
    <w:rsid w:val="003543CA"/>
    <w:rsid w:val="0036232E"/>
    <w:rsid w:val="0036522E"/>
    <w:rsid w:val="00382287"/>
    <w:rsid w:val="00396C25"/>
    <w:rsid w:val="00397E74"/>
    <w:rsid w:val="003A2D5F"/>
    <w:rsid w:val="003A333F"/>
    <w:rsid w:val="003A5A8B"/>
    <w:rsid w:val="003B3F6F"/>
    <w:rsid w:val="003B5BAD"/>
    <w:rsid w:val="003C66DB"/>
    <w:rsid w:val="003D499F"/>
    <w:rsid w:val="003E7CAA"/>
    <w:rsid w:val="003F7C55"/>
    <w:rsid w:val="00400B82"/>
    <w:rsid w:val="004018CA"/>
    <w:rsid w:val="00421692"/>
    <w:rsid w:val="00425183"/>
    <w:rsid w:val="00426051"/>
    <w:rsid w:val="00455900"/>
    <w:rsid w:val="00475E08"/>
    <w:rsid w:val="004B4861"/>
    <w:rsid w:val="004C6EBF"/>
    <w:rsid w:val="004D37F6"/>
    <w:rsid w:val="004D7122"/>
    <w:rsid w:val="005321DE"/>
    <w:rsid w:val="00543506"/>
    <w:rsid w:val="00545F23"/>
    <w:rsid w:val="005636FE"/>
    <w:rsid w:val="005643FA"/>
    <w:rsid w:val="00566AA1"/>
    <w:rsid w:val="00567696"/>
    <w:rsid w:val="0057400D"/>
    <w:rsid w:val="00584C91"/>
    <w:rsid w:val="005964CD"/>
    <w:rsid w:val="005A4DEB"/>
    <w:rsid w:val="005A5AA6"/>
    <w:rsid w:val="005B07A4"/>
    <w:rsid w:val="005B1E7B"/>
    <w:rsid w:val="005B3A1B"/>
    <w:rsid w:val="005D52B7"/>
    <w:rsid w:val="005D709E"/>
    <w:rsid w:val="005E1CAD"/>
    <w:rsid w:val="005E5E39"/>
    <w:rsid w:val="005F0419"/>
    <w:rsid w:val="005F6219"/>
    <w:rsid w:val="006213A5"/>
    <w:rsid w:val="00622C68"/>
    <w:rsid w:val="0062319B"/>
    <w:rsid w:val="006241B4"/>
    <w:rsid w:val="00632253"/>
    <w:rsid w:val="006326C1"/>
    <w:rsid w:val="00650C6B"/>
    <w:rsid w:val="006613FB"/>
    <w:rsid w:val="00666CD4"/>
    <w:rsid w:val="0067418B"/>
    <w:rsid w:val="006762E3"/>
    <w:rsid w:val="00683C56"/>
    <w:rsid w:val="006941EF"/>
    <w:rsid w:val="006968A0"/>
    <w:rsid w:val="006A09FC"/>
    <w:rsid w:val="006A46EE"/>
    <w:rsid w:val="006B4A16"/>
    <w:rsid w:val="006B7C02"/>
    <w:rsid w:val="006C3CA8"/>
    <w:rsid w:val="006C6DCF"/>
    <w:rsid w:val="006D72CA"/>
    <w:rsid w:val="006E2C02"/>
    <w:rsid w:val="006E2FFC"/>
    <w:rsid w:val="006F14A7"/>
    <w:rsid w:val="00747436"/>
    <w:rsid w:val="00752247"/>
    <w:rsid w:val="007742E5"/>
    <w:rsid w:val="00781408"/>
    <w:rsid w:val="0079174A"/>
    <w:rsid w:val="00792838"/>
    <w:rsid w:val="00797754"/>
    <w:rsid w:val="007A067B"/>
    <w:rsid w:val="007B6459"/>
    <w:rsid w:val="007D50D8"/>
    <w:rsid w:val="007F0B22"/>
    <w:rsid w:val="007F7085"/>
    <w:rsid w:val="00837CD1"/>
    <w:rsid w:val="00840D73"/>
    <w:rsid w:val="00874BBA"/>
    <w:rsid w:val="00890BC6"/>
    <w:rsid w:val="008A4158"/>
    <w:rsid w:val="008B028A"/>
    <w:rsid w:val="008B3A00"/>
    <w:rsid w:val="008B4042"/>
    <w:rsid w:val="008B5286"/>
    <w:rsid w:val="008E44C6"/>
    <w:rsid w:val="008F24DB"/>
    <w:rsid w:val="0091126A"/>
    <w:rsid w:val="00917849"/>
    <w:rsid w:val="009268CC"/>
    <w:rsid w:val="0093115B"/>
    <w:rsid w:val="00935C33"/>
    <w:rsid w:val="009470C3"/>
    <w:rsid w:val="00947C65"/>
    <w:rsid w:val="0096157D"/>
    <w:rsid w:val="0096635F"/>
    <w:rsid w:val="009665F7"/>
    <w:rsid w:val="009719C1"/>
    <w:rsid w:val="0097401F"/>
    <w:rsid w:val="009A37A4"/>
    <w:rsid w:val="009B4625"/>
    <w:rsid w:val="009C2853"/>
    <w:rsid w:val="009D15CA"/>
    <w:rsid w:val="009D3A02"/>
    <w:rsid w:val="009E06F5"/>
    <w:rsid w:val="009F7AED"/>
    <w:rsid w:val="00A17274"/>
    <w:rsid w:val="00A24DCE"/>
    <w:rsid w:val="00A375E6"/>
    <w:rsid w:val="00A473CA"/>
    <w:rsid w:val="00A65112"/>
    <w:rsid w:val="00A66462"/>
    <w:rsid w:val="00A70CFE"/>
    <w:rsid w:val="00A7406D"/>
    <w:rsid w:val="00A74E81"/>
    <w:rsid w:val="00A82E9D"/>
    <w:rsid w:val="00A83707"/>
    <w:rsid w:val="00A85A4B"/>
    <w:rsid w:val="00AC38BF"/>
    <w:rsid w:val="00AC3AF8"/>
    <w:rsid w:val="00AC5A6D"/>
    <w:rsid w:val="00AD480C"/>
    <w:rsid w:val="00AE101E"/>
    <w:rsid w:val="00B033DB"/>
    <w:rsid w:val="00B0428A"/>
    <w:rsid w:val="00B1790E"/>
    <w:rsid w:val="00B263B3"/>
    <w:rsid w:val="00B27611"/>
    <w:rsid w:val="00B34B86"/>
    <w:rsid w:val="00B50B2A"/>
    <w:rsid w:val="00B63EB6"/>
    <w:rsid w:val="00B7422F"/>
    <w:rsid w:val="00B744D2"/>
    <w:rsid w:val="00B83130"/>
    <w:rsid w:val="00BA0BDF"/>
    <w:rsid w:val="00BD2A39"/>
    <w:rsid w:val="00BF0789"/>
    <w:rsid w:val="00BF17E2"/>
    <w:rsid w:val="00BF2F98"/>
    <w:rsid w:val="00BF5613"/>
    <w:rsid w:val="00C04B95"/>
    <w:rsid w:val="00C10FC6"/>
    <w:rsid w:val="00C1147B"/>
    <w:rsid w:val="00C175E6"/>
    <w:rsid w:val="00C35A2E"/>
    <w:rsid w:val="00C41354"/>
    <w:rsid w:val="00C41F6A"/>
    <w:rsid w:val="00C44D1C"/>
    <w:rsid w:val="00C46B37"/>
    <w:rsid w:val="00C513D8"/>
    <w:rsid w:val="00C5143F"/>
    <w:rsid w:val="00C63BFE"/>
    <w:rsid w:val="00C66C42"/>
    <w:rsid w:val="00C70999"/>
    <w:rsid w:val="00C748F7"/>
    <w:rsid w:val="00C75568"/>
    <w:rsid w:val="00C8650B"/>
    <w:rsid w:val="00CA5F36"/>
    <w:rsid w:val="00CB550E"/>
    <w:rsid w:val="00CD7259"/>
    <w:rsid w:val="00CE4393"/>
    <w:rsid w:val="00CF193D"/>
    <w:rsid w:val="00CF2084"/>
    <w:rsid w:val="00CF6BD8"/>
    <w:rsid w:val="00D0711A"/>
    <w:rsid w:val="00D10D57"/>
    <w:rsid w:val="00D23C88"/>
    <w:rsid w:val="00D244E4"/>
    <w:rsid w:val="00D32FDF"/>
    <w:rsid w:val="00D40D1B"/>
    <w:rsid w:val="00D43545"/>
    <w:rsid w:val="00D53B0D"/>
    <w:rsid w:val="00D56C7F"/>
    <w:rsid w:val="00D675EB"/>
    <w:rsid w:val="00D70307"/>
    <w:rsid w:val="00D7336C"/>
    <w:rsid w:val="00D83913"/>
    <w:rsid w:val="00D9308B"/>
    <w:rsid w:val="00DA057C"/>
    <w:rsid w:val="00DB2B7D"/>
    <w:rsid w:val="00DB4E30"/>
    <w:rsid w:val="00DB580B"/>
    <w:rsid w:val="00DB7255"/>
    <w:rsid w:val="00DD21AC"/>
    <w:rsid w:val="00DE3615"/>
    <w:rsid w:val="00DE7127"/>
    <w:rsid w:val="00DF7018"/>
    <w:rsid w:val="00E07825"/>
    <w:rsid w:val="00E255D9"/>
    <w:rsid w:val="00E30B9D"/>
    <w:rsid w:val="00E47461"/>
    <w:rsid w:val="00E50D21"/>
    <w:rsid w:val="00E53BB5"/>
    <w:rsid w:val="00E55562"/>
    <w:rsid w:val="00E56073"/>
    <w:rsid w:val="00E56329"/>
    <w:rsid w:val="00E63F79"/>
    <w:rsid w:val="00E63FFB"/>
    <w:rsid w:val="00E80304"/>
    <w:rsid w:val="00EA08EE"/>
    <w:rsid w:val="00EA1C04"/>
    <w:rsid w:val="00EC05CB"/>
    <w:rsid w:val="00ED085F"/>
    <w:rsid w:val="00ED0CD7"/>
    <w:rsid w:val="00ED4090"/>
    <w:rsid w:val="00ED7248"/>
    <w:rsid w:val="00F11E95"/>
    <w:rsid w:val="00F124F0"/>
    <w:rsid w:val="00F152CE"/>
    <w:rsid w:val="00F203D8"/>
    <w:rsid w:val="00F268A2"/>
    <w:rsid w:val="00F51DB6"/>
    <w:rsid w:val="00F91A36"/>
    <w:rsid w:val="00F93F0F"/>
    <w:rsid w:val="00FA66AE"/>
    <w:rsid w:val="00FB2C56"/>
    <w:rsid w:val="00FB2D8B"/>
    <w:rsid w:val="00FB4A13"/>
    <w:rsid w:val="00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804"/>
  </w:style>
  <w:style w:type="paragraph" w:styleId="Footer">
    <w:name w:val="footer"/>
    <w:basedOn w:val="Normal"/>
    <w:link w:val="FooterChar"/>
    <w:uiPriority w:val="99"/>
    <w:unhideWhenUsed/>
    <w:rsid w:val="001B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04"/>
  </w:style>
  <w:style w:type="paragraph" w:styleId="BalloonText">
    <w:name w:val="Balloon Text"/>
    <w:basedOn w:val="Normal"/>
    <w:link w:val="BalloonTextChar"/>
    <w:uiPriority w:val="99"/>
    <w:semiHidden/>
    <w:unhideWhenUsed/>
    <w:rsid w:val="00FB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6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6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6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2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62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5AEB"/>
    <w:rPr>
      <w:color w:val="0000FF" w:themeColor="hyperlink"/>
      <w:u w:val="single"/>
    </w:rPr>
  </w:style>
  <w:style w:type="paragraph" w:customStyle="1" w:styleId="subpara-e">
    <w:name w:val="subpara-e"/>
    <w:basedOn w:val="Normal"/>
    <w:rsid w:val="00146B21"/>
    <w:pPr>
      <w:snapToGrid w:val="0"/>
      <w:spacing w:after="120" w:line="240" w:lineRule="auto"/>
      <w:ind w:left="1673" w:hanging="400"/>
    </w:pPr>
    <w:rPr>
      <w:rFonts w:ascii="Times New Roman" w:eastAsia="Times New Roman" w:hAnsi="Times New Roman" w:cs="Times New Roman"/>
      <w:color w:val="000000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804"/>
  </w:style>
  <w:style w:type="paragraph" w:styleId="Footer">
    <w:name w:val="footer"/>
    <w:basedOn w:val="Normal"/>
    <w:link w:val="FooterChar"/>
    <w:uiPriority w:val="99"/>
    <w:unhideWhenUsed/>
    <w:rsid w:val="001B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04"/>
  </w:style>
  <w:style w:type="paragraph" w:styleId="BalloonText">
    <w:name w:val="Balloon Text"/>
    <w:basedOn w:val="Normal"/>
    <w:link w:val="BalloonTextChar"/>
    <w:uiPriority w:val="99"/>
    <w:semiHidden/>
    <w:unhideWhenUsed/>
    <w:rsid w:val="00FB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6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6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6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2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62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5AEB"/>
    <w:rPr>
      <w:color w:val="0000FF" w:themeColor="hyperlink"/>
      <w:u w:val="single"/>
    </w:rPr>
  </w:style>
  <w:style w:type="paragraph" w:customStyle="1" w:styleId="subpara-e">
    <w:name w:val="subpara-e"/>
    <w:basedOn w:val="Normal"/>
    <w:rsid w:val="00146B21"/>
    <w:pPr>
      <w:snapToGrid w:val="0"/>
      <w:spacing w:after="120" w:line="240" w:lineRule="auto"/>
      <w:ind w:left="1673" w:hanging="400"/>
    </w:pPr>
    <w:rPr>
      <w:rFonts w:ascii="Times New Roman" w:eastAsia="Times New Roman" w:hAnsi="Times New Roman" w:cs="Times New Roman"/>
      <w:color w:val="000000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04B1-6E22-4A31-AC35-A2E40250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Thomasian, Talene (MCSS)</dc:creator>
  <cp:lastModifiedBy>Jothilingam, Yalini (MCYS)</cp:lastModifiedBy>
  <cp:revision>16</cp:revision>
  <cp:lastPrinted>2017-11-30T16:20:00Z</cp:lastPrinted>
  <dcterms:created xsi:type="dcterms:W3CDTF">2017-12-11T20:56:00Z</dcterms:created>
  <dcterms:modified xsi:type="dcterms:W3CDTF">2017-12-12T17:56:00Z</dcterms:modified>
</cp:coreProperties>
</file>