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71" w:rsidRPr="009F7BAF" w:rsidRDefault="004C2771" w:rsidP="004C2771">
      <w:pPr>
        <w:pBdr>
          <w:bottom w:val="single" w:sz="12" w:space="1" w:color="auto"/>
        </w:pBdr>
        <w:jc w:val="center"/>
        <w:rPr>
          <w:rFonts w:cs="Arial"/>
          <w:b/>
          <w:sz w:val="28"/>
          <w:szCs w:val="28"/>
        </w:rPr>
      </w:pPr>
      <w:r w:rsidRPr="009F7BAF">
        <w:rPr>
          <w:rFonts w:cs="Arial"/>
          <w:b/>
          <w:sz w:val="28"/>
          <w:szCs w:val="28"/>
        </w:rPr>
        <w:t>REGULATORY REGISTRY POSTING</w:t>
      </w:r>
    </w:p>
    <w:p w:rsidR="004C2771" w:rsidRDefault="004C2771" w:rsidP="004C2771">
      <w:pPr>
        <w:rPr>
          <w:rFonts w:cs="Arial"/>
        </w:rPr>
      </w:pPr>
    </w:p>
    <w:p w:rsidR="004C2771" w:rsidRDefault="004C2771" w:rsidP="004C2771">
      <w:pPr>
        <w:ind w:left="2160" w:hanging="2160"/>
        <w:rPr>
          <w:rFonts w:cs="Arial"/>
        </w:rPr>
      </w:pPr>
      <w:r>
        <w:rPr>
          <w:rFonts w:cs="Arial"/>
          <w:b/>
        </w:rPr>
        <w:t xml:space="preserve">Posting Source: </w:t>
      </w:r>
      <w:r>
        <w:rPr>
          <w:rFonts w:cs="Arial"/>
        </w:rPr>
        <w:t>Regulatory Registry</w:t>
      </w:r>
    </w:p>
    <w:p w:rsidR="004C2771" w:rsidRDefault="004C2771" w:rsidP="004C2771">
      <w:pPr>
        <w:ind w:left="2160" w:hanging="2160"/>
        <w:rPr>
          <w:rFonts w:cs="Arial"/>
        </w:rPr>
      </w:pPr>
      <w:r>
        <w:rPr>
          <w:rFonts w:cs="Arial"/>
          <w:b/>
        </w:rPr>
        <w:t>Posting Stage</w:t>
      </w:r>
      <w:r w:rsidRPr="00DA39B5">
        <w:rPr>
          <w:rFonts w:cs="Arial"/>
          <w:b/>
        </w:rPr>
        <w:t>:</w:t>
      </w:r>
      <w:r>
        <w:rPr>
          <w:rFonts w:cs="Arial"/>
        </w:rPr>
        <w:t xml:space="preserve"> </w:t>
      </w:r>
      <w:r w:rsidRPr="005E0760">
        <w:rPr>
          <w:rFonts w:cs="Arial"/>
        </w:rPr>
        <w:t>For Consultation</w:t>
      </w:r>
    </w:p>
    <w:p w:rsidR="004C2771" w:rsidRPr="00680894" w:rsidRDefault="004C2771" w:rsidP="004C2771">
      <w:pPr>
        <w:ind w:left="720" w:hanging="720"/>
        <w:rPr>
          <w:rFonts w:cs="Arial"/>
          <w:b/>
        </w:rPr>
      </w:pPr>
    </w:p>
    <w:p w:rsidR="004C2771" w:rsidRPr="00680894" w:rsidRDefault="004C2771" w:rsidP="004C2771">
      <w:pPr>
        <w:ind w:left="720" w:hanging="720"/>
        <w:rPr>
          <w:rFonts w:cs="Arial"/>
          <w:i/>
        </w:rPr>
      </w:pPr>
      <w:r w:rsidRPr="00680894">
        <w:rPr>
          <w:rFonts w:cs="Arial"/>
          <w:b/>
        </w:rPr>
        <w:t>Title:</w:t>
      </w:r>
      <w:r w:rsidRPr="00680894">
        <w:rPr>
          <w:rFonts w:cs="Arial"/>
        </w:rPr>
        <w:t xml:space="preserve"> </w:t>
      </w:r>
      <w:r w:rsidRPr="00680894">
        <w:rPr>
          <w:rFonts w:cs="Arial"/>
        </w:rPr>
        <w:tab/>
      </w:r>
      <w:r w:rsidR="00831200">
        <w:rPr>
          <w:rFonts w:cs="Arial"/>
        </w:rPr>
        <w:t>Towing and Vehicle Storage</w:t>
      </w:r>
      <w:r w:rsidR="004D54C6">
        <w:rPr>
          <w:rFonts w:cs="Arial"/>
        </w:rPr>
        <w:t xml:space="preserve">: </w:t>
      </w:r>
      <w:r w:rsidR="008C6FA2">
        <w:rPr>
          <w:rFonts w:cs="Arial"/>
        </w:rPr>
        <w:t xml:space="preserve">Proposed regulations under </w:t>
      </w:r>
      <w:r w:rsidR="004D54C6">
        <w:rPr>
          <w:rFonts w:cs="Arial"/>
        </w:rPr>
        <w:t>the Consumer Protection Act</w:t>
      </w:r>
      <w:r w:rsidR="00F4132A">
        <w:rPr>
          <w:rFonts w:cs="Arial"/>
        </w:rPr>
        <w:t>, 2002</w:t>
      </w:r>
      <w:r w:rsidR="004D54C6">
        <w:rPr>
          <w:rFonts w:cs="Arial"/>
        </w:rPr>
        <w:t xml:space="preserve"> and the Repair and Storage Liens Act</w:t>
      </w:r>
    </w:p>
    <w:p w:rsidR="004C2771" w:rsidRPr="003A0AAC" w:rsidRDefault="004C2771" w:rsidP="004C2771">
      <w:pPr>
        <w:rPr>
          <w:rFonts w:cs="Arial"/>
        </w:rPr>
      </w:pPr>
    </w:p>
    <w:p w:rsidR="001C5652" w:rsidRDefault="004C2771" w:rsidP="00831200">
      <w:pPr>
        <w:rPr>
          <w:rFonts w:cs="Arial"/>
        </w:rPr>
      </w:pPr>
      <w:r w:rsidRPr="003A0AAC">
        <w:rPr>
          <w:rFonts w:cs="Arial"/>
          <w:b/>
        </w:rPr>
        <w:t>Description</w:t>
      </w:r>
      <w:r w:rsidRPr="003A0AAC">
        <w:rPr>
          <w:rFonts w:cs="Arial"/>
        </w:rPr>
        <w:t xml:space="preserve">: </w:t>
      </w:r>
      <w:r w:rsidR="00831200" w:rsidRPr="0027324C">
        <w:rPr>
          <w:rFonts w:cs="Arial"/>
        </w:rPr>
        <w:t>The Ministr</w:t>
      </w:r>
      <w:r w:rsidR="001C5652">
        <w:rPr>
          <w:rFonts w:cs="Arial"/>
        </w:rPr>
        <w:t xml:space="preserve">y </w:t>
      </w:r>
      <w:r w:rsidR="00BE600F">
        <w:rPr>
          <w:rFonts w:cs="Arial"/>
        </w:rPr>
        <w:t xml:space="preserve">of </w:t>
      </w:r>
      <w:r w:rsidR="00831200" w:rsidRPr="0027324C">
        <w:rPr>
          <w:rFonts w:cs="Arial"/>
        </w:rPr>
        <w:t xml:space="preserve">Government and Consumer Services </w:t>
      </w:r>
      <w:r w:rsidR="001C5652">
        <w:rPr>
          <w:rFonts w:cs="Arial"/>
        </w:rPr>
        <w:t xml:space="preserve">is </w:t>
      </w:r>
      <w:r w:rsidR="00831200" w:rsidRPr="0027324C">
        <w:rPr>
          <w:rFonts w:cs="Arial"/>
        </w:rPr>
        <w:t xml:space="preserve">seeking feedback on </w:t>
      </w:r>
      <w:r w:rsidR="00831200" w:rsidRPr="00CA123D">
        <w:rPr>
          <w:rFonts w:cs="Arial"/>
        </w:rPr>
        <w:t xml:space="preserve">the </w:t>
      </w:r>
      <w:r w:rsidR="005F1CF8" w:rsidRPr="00CA123D">
        <w:rPr>
          <w:rFonts w:cs="Arial"/>
        </w:rPr>
        <w:t xml:space="preserve">proposed regulatory changes to Ontario Regulation 17/05 </w:t>
      </w:r>
      <w:r w:rsidR="004D54C6" w:rsidRPr="00CA123D">
        <w:rPr>
          <w:rFonts w:cs="Arial"/>
        </w:rPr>
        <w:t xml:space="preserve">(General) </w:t>
      </w:r>
      <w:r w:rsidR="005F1CF8" w:rsidRPr="00CA123D">
        <w:rPr>
          <w:rFonts w:cs="Arial"/>
        </w:rPr>
        <w:t xml:space="preserve">under the </w:t>
      </w:r>
      <w:r w:rsidR="005F1CF8" w:rsidRPr="00F4132A">
        <w:rPr>
          <w:rFonts w:cs="Arial"/>
          <w:i/>
        </w:rPr>
        <w:t>Consumer Protection Act</w:t>
      </w:r>
      <w:r w:rsidR="00F4132A" w:rsidRPr="00F4132A">
        <w:rPr>
          <w:rFonts w:cs="Arial"/>
          <w:i/>
        </w:rPr>
        <w:t>, 2002</w:t>
      </w:r>
      <w:r w:rsidR="005F1CF8" w:rsidRPr="00CA123D">
        <w:rPr>
          <w:rFonts w:cs="Arial"/>
        </w:rPr>
        <w:t xml:space="preserve"> and proposed regulations </w:t>
      </w:r>
      <w:r w:rsidR="00CA123D">
        <w:rPr>
          <w:rFonts w:cs="Arial"/>
        </w:rPr>
        <w:t xml:space="preserve">(General) </w:t>
      </w:r>
      <w:r w:rsidR="005F1CF8" w:rsidRPr="00CA123D">
        <w:rPr>
          <w:rFonts w:cs="Arial"/>
        </w:rPr>
        <w:t>under t</w:t>
      </w:r>
      <w:r w:rsidR="005F1CF8">
        <w:rPr>
          <w:rFonts w:cs="Arial"/>
        </w:rPr>
        <w:t xml:space="preserve">he </w:t>
      </w:r>
      <w:r w:rsidR="004D54C6" w:rsidRPr="00F4132A">
        <w:rPr>
          <w:rFonts w:cs="Arial"/>
          <w:i/>
        </w:rPr>
        <w:t xml:space="preserve">Repair and </w:t>
      </w:r>
      <w:r w:rsidR="005F1CF8" w:rsidRPr="00F4132A">
        <w:rPr>
          <w:rFonts w:cs="Arial"/>
          <w:i/>
        </w:rPr>
        <w:t>Storage Liens Act</w:t>
      </w:r>
      <w:r w:rsidR="005F1CF8">
        <w:rPr>
          <w:rFonts w:cs="Arial"/>
        </w:rPr>
        <w:t>.</w:t>
      </w:r>
      <w:r w:rsidR="004D54C6">
        <w:rPr>
          <w:rFonts w:cs="Arial"/>
        </w:rPr>
        <w:t xml:space="preserve"> </w:t>
      </w:r>
      <w:r w:rsidR="004D54C6" w:rsidRPr="004D54C6">
        <w:rPr>
          <w:rFonts w:cs="Arial"/>
        </w:rPr>
        <w:t>These changes are intended to</w:t>
      </w:r>
      <w:r w:rsidR="004D54C6">
        <w:rPr>
          <w:rFonts w:cs="Arial"/>
        </w:rPr>
        <w:t xml:space="preserve"> e</w:t>
      </w:r>
      <w:r w:rsidR="004D54C6" w:rsidRPr="004D54C6">
        <w:rPr>
          <w:rFonts w:eastAsia="Calibri" w:cs="Arial"/>
          <w:lang w:eastAsia="en-US"/>
        </w:rPr>
        <w:t>stablish</w:t>
      </w:r>
      <w:r w:rsidR="004D54C6" w:rsidRPr="00831200">
        <w:rPr>
          <w:rFonts w:eastAsia="Calibri" w:cs="Arial"/>
          <w:lang w:eastAsia="en-US"/>
        </w:rPr>
        <w:t xml:space="preserve"> tow and storage specific consumer protection measures</w:t>
      </w:r>
      <w:r w:rsidR="004D54C6">
        <w:rPr>
          <w:rFonts w:eastAsia="Calibri" w:cs="Arial"/>
          <w:lang w:eastAsia="en-US"/>
        </w:rPr>
        <w:t xml:space="preserve"> and </w:t>
      </w:r>
      <w:r w:rsidR="004D54C6" w:rsidRPr="00831200">
        <w:rPr>
          <w:rFonts w:eastAsia="Calibri" w:cs="Arial"/>
          <w:lang w:eastAsia="en-US"/>
        </w:rPr>
        <w:t xml:space="preserve">address storage </w:t>
      </w:r>
      <w:r w:rsidR="004D54C6">
        <w:rPr>
          <w:rFonts w:eastAsia="Calibri" w:cs="Arial"/>
          <w:lang w:eastAsia="en-US"/>
        </w:rPr>
        <w:t>notification and related issues.</w:t>
      </w:r>
    </w:p>
    <w:p w:rsidR="001C5652" w:rsidRDefault="001C5652" w:rsidP="00831200">
      <w:pPr>
        <w:rPr>
          <w:rFonts w:cs="Arial"/>
        </w:rPr>
      </w:pPr>
    </w:p>
    <w:p w:rsidR="00FB548C" w:rsidRPr="00851E2E" w:rsidRDefault="00FB548C" w:rsidP="00FB548C">
      <w:pPr>
        <w:ind w:left="2160" w:hanging="2160"/>
        <w:rPr>
          <w:rFonts w:cs="Arial"/>
        </w:rPr>
      </w:pPr>
      <w:r w:rsidRPr="00851E2E">
        <w:rPr>
          <w:rFonts w:cs="Arial"/>
          <w:b/>
        </w:rPr>
        <w:t>Ministry Contact Email:</w:t>
      </w:r>
      <w:r w:rsidRPr="00851E2E">
        <w:rPr>
          <w:rFonts w:cs="Arial"/>
        </w:rPr>
        <w:t xml:space="preserve"> </w:t>
      </w:r>
      <w:r>
        <w:rPr>
          <w:rFonts w:cs="Arial"/>
        </w:rPr>
        <w:tab/>
      </w:r>
      <w:r>
        <w:rPr>
          <w:rFonts w:cs="Arial"/>
        </w:rPr>
        <w:tab/>
      </w:r>
      <w:hyperlink r:id="rId9" w:history="1">
        <w:r w:rsidRPr="0027324C">
          <w:rPr>
            <w:rFonts w:cs="Arial"/>
            <w:color w:val="0000FF" w:themeColor="hyperlink"/>
            <w:u w:val="single"/>
          </w:rPr>
          <w:t>towingandstorage@ontario.ca</w:t>
        </w:r>
      </w:hyperlink>
    </w:p>
    <w:p w:rsidR="00FB548C" w:rsidRPr="00851E2E" w:rsidRDefault="00FB548C" w:rsidP="00FB548C">
      <w:pPr>
        <w:ind w:left="2160" w:hanging="2160"/>
        <w:rPr>
          <w:rFonts w:cs="Arial"/>
        </w:rPr>
      </w:pPr>
      <w:r w:rsidRPr="00851E2E">
        <w:rPr>
          <w:rFonts w:cs="Arial"/>
          <w:b/>
        </w:rPr>
        <w:t>Ministry Contact Address</w:t>
      </w:r>
      <w:r w:rsidRPr="00851E2E">
        <w:rPr>
          <w:rFonts w:cs="Arial"/>
        </w:rPr>
        <w:t xml:space="preserve">: </w:t>
      </w:r>
      <w:r>
        <w:rPr>
          <w:rFonts w:cs="Arial"/>
        </w:rPr>
        <w:tab/>
      </w:r>
      <w:r w:rsidRPr="00851E2E">
        <w:rPr>
          <w:rFonts w:cs="Arial"/>
        </w:rPr>
        <w:t xml:space="preserve">Ministry of </w:t>
      </w:r>
      <w:r>
        <w:rPr>
          <w:rFonts w:cs="Arial"/>
        </w:rPr>
        <w:t xml:space="preserve">Government and </w:t>
      </w:r>
      <w:r w:rsidRPr="00851E2E">
        <w:rPr>
          <w:rFonts w:cs="Arial"/>
        </w:rPr>
        <w:t>Consumer Services</w:t>
      </w:r>
    </w:p>
    <w:p w:rsidR="00FB548C" w:rsidRPr="00680894" w:rsidRDefault="00FB548C" w:rsidP="00FB548C">
      <w:pPr>
        <w:ind w:left="2160" w:hanging="2160"/>
        <w:rPr>
          <w:rFonts w:cs="Arial"/>
        </w:rPr>
      </w:pPr>
      <w:r w:rsidRPr="00851E2E">
        <w:rPr>
          <w:rFonts w:cs="Arial"/>
          <w:b/>
        </w:rPr>
        <w:tab/>
      </w:r>
      <w:r w:rsidRPr="00851E2E">
        <w:rPr>
          <w:rFonts w:cs="Arial"/>
          <w:b/>
        </w:rPr>
        <w:tab/>
        <w:t xml:space="preserve">  </w:t>
      </w:r>
      <w:r>
        <w:rPr>
          <w:rFonts w:cs="Arial"/>
          <w:b/>
        </w:rPr>
        <w:tab/>
      </w:r>
      <w:r>
        <w:rPr>
          <w:rFonts w:cs="Arial"/>
        </w:rPr>
        <w:t>Consumer P</w:t>
      </w:r>
      <w:r w:rsidRPr="00851E2E">
        <w:rPr>
          <w:rFonts w:cs="Arial"/>
        </w:rPr>
        <w:t>olicy</w:t>
      </w:r>
      <w:r>
        <w:rPr>
          <w:rFonts w:cs="Arial"/>
        </w:rPr>
        <w:t xml:space="preserve"> and Liaison Branch</w:t>
      </w:r>
    </w:p>
    <w:p w:rsidR="00FB548C" w:rsidRPr="00680894" w:rsidRDefault="00FB548C" w:rsidP="00FB548C">
      <w:pPr>
        <w:ind w:left="2160" w:hanging="2160"/>
        <w:rPr>
          <w:rFonts w:cs="Arial"/>
        </w:rPr>
      </w:pPr>
      <w:r w:rsidRPr="00680894">
        <w:rPr>
          <w:rFonts w:cs="Arial"/>
        </w:rPr>
        <w:tab/>
      </w:r>
      <w:r w:rsidRPr="00680894">
        <w:rPr>
          <w:rFonts w:cs="Arial"/>
        </w:rPr>
        <w:tab/>
        <w:t xml:space="preserve">   </w:t>
      </w:r>
      <w:r w:rsidRPr="00680894">
        <w:rPr>
          <w:rFonts w:cs="Arial"/>
        </w:rPr>
        <w:tab/>
        <w:t>777 Bay Street, 5</w:t>
      </w:r>
      <w:r w:rsidRPr="00680894">
        <w:rPr>
          <w:rFonts w:cs="Arial"/>
          <w:vertAlign w:val="superscript"/>
        </w:rPr>
        <w:t>th</w:t>
      </w:r>
      <w:r w:rsidRPr="00680894">
        <w:rPr>
          <w:rFonts w:cs="Arial"/>
        </w:rPr>
        <w:t xml:space="preserve"> Floor</w:t>
      </w:r>
    </w:p>
    <w:p w:rsidR="00FB548C" w:rsidRPr="00680894" w:rsidRDefault="00FB548C" w:rsidP="00FB548C">
      <w:pPr>
        <w:ind w:left="2160" w:hanging="2160"/>
        <w:rPr>
          <w:rFonts w:cs="Arial"/>
        </w:rPr>
      </w:pPr>
      <w:r w:rsidRPr="00680894">
        <w:rPr>
          <w:rFonts w:cs="Arial"/>
        </w:rPr>
        <w:tab/>
      </w:r>
      <w:r w:rsidRPr="00680894">
        <w:rPr>
          <w:rFonts w:cs="Arial"/>
        </w:rPr>
        <w:tab/>
        <w:t xml:space="preserve">   </w:t>
      </w:r>
      <w:r w:rsidRPr="00680894">
        <w:rPr>
          <w:rFonts w:cs="Arial"/>
        </w:rPr>
        <w:tab/>
        <w:t>Toronto, ON M7A 2J3</w:t>
      </w:r>
    </w:p>
    <w:p w:rsidR="00FB548C" w:rsidRDefault="00FB548C" w:rsidP="00FB548C">
      <w:pPr>
        <w:ind w:left="3600"/>
        <w:rPr>
          <w:rFonts w:cs="Arial"/>
        </w:rPr>
      </w:pPr>
      <w:r w:rsidRPr="00680894">
        <w:rPr>
          <w:rFonts w:cs="Arial"/>
        </w:rPr>
        <w:t xml:space="preserve">Attention: </w:t>
      </w:r>
      <w:r>
        <w:rPr>
          <w:rFonts w:cs="Arial"/>
        </w:rPr>
        <w:t xml:space="preserve">Towing and Vehicle Storage </w:t>
      </w:r>
      <w:r w:rsidRPr="00680894">
        <w:rPr>
          <w:rFonts w:cs="Arial"/>
        </w:rPr>
        <w:t>Consultation</w:t>
      </w:r>
    </w:p>
    <w:p w:rsidR="00FB548C" w:rsidRDefault="00FB548C" w:rsidP="00FB548C">
      <w:pPr>
        <w:ind w:left="3600"/>
        <w:rPr>
          <w:rFonts w:cs="Arial"/>
        </w:rPr>
      </w:pPr>
    </w:p>
    <w:p w:rsidR="00FB548C" w:rsidRPr="00851E2E" w:rsidRDefault="00FB548C" w:rsidP="00FB548C">
      <w:pPr>
        <w:ind w:left="2160" w:hanging="2160"/>
        <w:rPr>
          <w:rFonts w:cs="Arial"/>
        </w:rPr>
      </w:pPr>
      <w:r w:rsidRPr="00851E2E">
        <w:rPr>
          <w:rFonts w:cs="Arial"/>
          <w:b/>
        </w:rPr>
        <w:t xml:space="preserve">Instrument Type: </w:t>
      </w:r>
      <w:r w:rsidR="004D54C6" w:rsidRPr="004D54C6">
        <w:rPr>
          <w:rFonts w:cs="Arial"/>
        </w:rPr>
        <w:t>Regulations</w:t>
      </w:r>
    </w:p>
    <w:p w:rsidR="00FB548C" w:rsidRPr="00851E2E" w:rsidRDefault="00FB548C" w:rsidP="00FB548C">
      <w:pPr>
        <w:ind w:left="2160" w:hanging="2160"/>
        <w:rPr>
          <w:rFonts w:cs="Arial"/>
        </w:rPr>
      </w:pPr>
      <w:r w:rsidRPr="00851E2E">
        <w:rPr>
          <w:rFonts w:cs="Arial"/>
          <w:b/>
        </w:rPr>
        <w:t xml:space="preserve">Category: </w:t>
      </w:r>
      <w:r w:rsidRPr="005E0760">
        <w:rPr>
          <w:rFonts w:cs="Arial"/>
        </w:rPr>
        <w:t>General</w:t>
      </w:r>
    </w:p>
    <w:p w:rsidR="00FB548C" w:rsidRPr="00FC757E" w:rsidRDefault="00FB548C" w:rsidP="00FB548C">
      <w:pPr>
        <w:ind w:left="2160" w:hanging="2160"/>
        <w:rPr>
          <w:rFonts w:cs="Arial"/>
        </w:rPr>
      </w:pPr>
      <w:r w:rsidRPr="00851E2E">
        <w:rPr>
          <w:rFonts w:cs="Arial"/>
          <w:b/>
        </w:rPr>
        <w:t>Regulation Number:</w:t>
      </w:r>
      <w:r>
        <w:rPr>
          <w:rFonts w:cs="Arial"/>
          <w:b/>
        </w:rPr>
        <w:t xml:space="preserve"> </w:t>
      </w:r>
      <w:r w:rsidR="004D54C6">
        <w:rPr>
          <w:rFonts w:cs="Arial"/>
        </w:rPr>
        <w:t>Ontario Regulation 17/05</w:t>
      </w:r>
      <w:r w:rsidR="00CE25E8">
        <w:rPr>
          <w:rFonts w:cs="Arial"/>
        </w:rPr>
        <w:t xml:space="preserve"> (General)</w:t>
      </w:r>
      <w:r w:rsidR="00F4132A">
        <w:rPr>
          <w:rFonts w:cs="Arial"/>
        </w:rPr>
        <w:t xml:space="preserve"> under the Consumer Protection Act, 2002</w:t>
      </w:r>
    </w:p>
    <w:p w:rsidR="00FB548C" w:rsidRPr="00851E2E" w:rsidRDefault="00FB548C" w:rsidP="00FB548C">
      <w:pPr>
        <w:ind w:left="2160" w:hanging="2160"/>
        <w:rPr>
          <w:rFonts w:ascii="Arial (W1)" w:hAnsi="Arial (W1)" w:cs="Arial"/>
        </w:rPr>
      </w:pPr>
      <w:r w:rsidRPr="00851E2E">
        <w:rPr>
          <w:rFonts w:cs="Arial"/>
          <w:b/>
        </w:rPr>
        <w:t>This is a new regulation:</w:t>
      </w:r>
      <w:r>
        <w:rPr>
          <w:rFonts w:ascii="Arial (W1)" w:hAnsi="Arial (W1)" w:cs="Arial"/>
        </w:rPr>
        <w:t xml:space="preserve"> </w:t>
      </w:r>
      <w:r w:rsidR="004D54C6" w:rsidRPr="00CA123D">
        <w:rPr>
          <w:rFonts w:ascii="Arial (W1)" w:hAnsi="Arial (W1)" w:cs="Arial"/>
        </w:rPr>
        <w:t xml:space="preserve">New regulation </w:t>
      </w:r>
      <w:r w:rsidR="00CE25E8">
        <w:rPr>
          <w:rFonts w:ascii="Arial (W1)" w:hAnsi="Arial (W1)" w:cs="Arial"/>
        </w:rPr>
        <w:t xml:space="preserve">(General) </w:t>
      </w:r>
      <w:r w:rsidR="004D54C6" w:rsidRPr="00CA123D">
        <w:rPr>
          <w:rFonts w:ascii="Arial (W1)" w:hAnsi="Arial (W1)" w:cs="Arial"/>
        </w:rPr>
        <w:t xml:space="preserve">under </w:t>
      </w:r>
      <w:r w:rsidR="00F4132A">
        <w:rPr>
          <w:rFonts w:ascii="Arial (W1)" w:hAnsi="Arial (W1)" w:cs="Arial"/>
        </w:rPr>
        <w:t>the Repair and Storage Liens Act</w:t>
      </w:r>
    </w:p>
    <w:p w:rsidR="00FB548C" w:rsidRPr="00737DA5" w:rsidRDefault="00FB548C" w:rsidP="00FB548C">
      <w:pPr>
        <w:ind w:left="2160" w:hanging="2160"/>
        <w:rPr>
          <w:rFonts w:cs="Arial"/>
          <w:i/>
          <w:lang w:val="en"/>
        </w:rPr>
      </w:pPr>
      <w:r w:rsidRPr="00851E2E">
        <w:rPr>
          <w:rFonts w:cs="Arial"/>
          <w:b/>
        </w:rPr>
        <w:t>Bill or Act</w:t>
      </w:r>
      <w:r w:rsidRPr="00851E2E">
        <w:rPr>
          <w:rFonts w:cs="Arial"/>
        </w:rPr>
        <w:t>:</w:t>
      </w:r>
      <w:r>
        <w:rPr>
          <w:rFonts w:cs="Arial"/>
        </w:rPr>
        <w:t xml:space="preserve"> Fighting Fraud and Reducing Automobile Insurance Rates Act, 2014</w:t>
      </w:r>
    </w:p>
    <w:p w:rsidR="00FB548C" w:rsidRPr="00E843FE" w:rsidRDefault="00FB548C" w:rsidP="00FB548C">
      <w:pPr>
        <w:ind w:left="2160" w:hanging="2160"/>
        <w:rPr>
          <w:rFonts w:cs="Arial"/>
          <w:highlight w:val="yellow"/>
          <w:lang w:val="en"/>
        </w:rPr>
      </w:pPr>
    </w:p>
    <w:p w:rsidR="00FB548C" w:rsidRDefault="00FB548C" w:rsidP="00FB548C">
      <w:pPr>
        <w:ind w:left="2160" w:hanging="2160"/>
        <w:rPr>
          <w:rFonts w:cs="Arial"/>
        </w:rPr>
      </w:pPr>
      <w:r w:rsidRPr="00AC431A">
        <w:rPr>
          <w:rFonts w:cs="Arial"/>
          <w:b/>
        </w:rPr>
        <w:t>Summary of Proposal:</w:t>
      </w:r>
      <w:r w:rsidRPr="00AC431A">
        <w:rPr>
          <w:rFonts w:cs="Arial"/>
        </w:rPr>
        <w:t xml:space="preserve"> </w:t>
      </w:r>
    </w:p>
    <w:p w:rsidR="00FB548C" w:rsidRPr="00AC431A" w:rsidRDefault="00FB548C" w:rsidP="00FB548C">
      <w:pPr>
        <w:ind w:left="2160" w:hanging="2160"/>
        <w:rPr>
          <w:rFonts w:cs="Arial"/>
        </w:rPr>
      </w:pPr>
    </w:p>
    <w:p w:rsidR="001C5652" w:rsidRDefault="00FB548C" w:rsidP="00831200">
      <w:pPr>
        <w:rPr>
          <w:rFonts w:cs="Arial"/>
        </w:rPr>
      </w:pPr>
      <w:r w:rsidRPr="00737DA5">
        <w:rPr>
          <w:rFonts w:cs="Arial"/>
        </w:rPr>
        <w:t>The Ministr</w:t>
      </w:r>
      <w:r w:rsidR="001C5652">
        <w:rPr>
          <w:rFonts w:cs="Arial"/>
        </w:rPr>
        <w:t>y of</w:t>
      </w:r>
      <w:r w:rsidRPr="00737DA5">
        <w:rPr>
          <w:rFonts w:cs="Arial"/>
        </w:rPr>
        <w:t xml:space="preserve"> Government and Consumer Services </w:t>
      </w:r>
      <w:r w:rsidR="008C6FA2">
        <w:rPr>
          <w:rFonts w:cs="Arial"/>
        </w:rPr>
        <w:t xml:space="preserve">(MGCS) </w:t>
      </w:r>
      <w:r w:rsidR="001C5652">
        <w:rPr>
          <w:rFonts w:cs="Arial"/>
        </w:rPr>
        <w:t xml:space="preserve">is </w:t>
      </w:r>
      <w:r w:rsidR="008C6FA2">
        <w:rPr>
          <w:rFonts w:cs="Arial"/>
        </w:rPr>
        <w:t xml:space="preserve">seeking feedback on proposed regulatory changes </w:t>
      </w:r>
      <w:r w:rsidR="001C5652">
        <w:rPr>
          <w:rFonts w:cs="Arial"/>
        </w:rPr>
        <w:t xml:space="preserve">under the </w:t>
      </w:r>
      <w:r w:rsidR="004D54C6" w:rsidRPr="00F4132A">
        <w:rPr>
          <w:rFonts w:cs="Arial"/>
          <w:i/>
        </w:rPr>
        <w:t>Consumer Protection Act</w:t>
      </w:r>
      <w:r w:rsidR="00F4132A" w:rsidRPr="00F4132A">
        <w:rPr>
          <w:rFonts w:cs="Arial"/>
          <w:i/>
        </w:rPr>
        <w:t>, 2002</w:t>
      </w:r>
      <w:r w:rsidR="004D54C6">
        <w:rPr>
          <w:rFonts w:cs="Arial"/>
        </w:rPr>
        <w:t xml:space="preserve"> (</w:t>
      </w:r>
      <w:r w:rsidR="001C5652">
        <w:rPr>
          <w:rFonts w:cs="Arial"/>
        </w:rPr>
        <w:t>CPA</w:t>
      </w:r>
      <w:r w:rsidR="004D54C6">
        <w:rPr>
          <w:rFonts w:cs="Arial"/>
        </w:rPr>
        <w:t>)</w:t>
      </w:r>
      <w:r w:rsidR="001C5652">
        <w:rPr>
          <w:rFonts w:cs="Arial"/>
        </w:rPr>
        <w:t xml:space="preserve"> and </w:t>
      </w:r>
      <w:r w:rsidR="008C6FA2">
        <w:rPr>
          <w:rFonts w:cs="Arial"/>
        </w:rPr>
        <w:t xml:space="preserve">the </w:t>
      </w:r>
      <w:r w:rsidR="004D54C6" w:rsidRPr="00F4132A">
        <w:rPr>
          <w:rFonts w:cs="Arial"/>
          <w:i/>
        </w:rPr>
        <w:t xml:space="preserve">Repair and Storage Liens Act </w:t>
      </w:r>
      <w:r w:rsidR="004D54C6">
        <w:rPr>
          <w:rFonts w:cs="Arial"/>
        </w:rPr>
        <w:t>(</w:t>
      </w:r>
      <w:r w:rsidR="001C5652">
        <w:rPr>
          <w:rFonts w:cs="Arial"/>
        </w:rPr>
        <w:t>RSLA</w:t>
      </w:r>
      <w:r w:rsidR="004D54C6">
        <w:rPr>
          <w:rFonts w:cs="Arial"/>
        </w:rPr>
        <w:t>)</w:t>
      </w:r>
      <w:r w:rsidR="001C5652">
        <w:rPr>
          <w:rFonts w:cs="Arial"/>
        </w:rPr>
        <w:t xml:space="preserve">. </w:t>
      </w:r>
    </w:p>
    <w:p w:rsidR="001C5652" w:rsidRDefault="001C5652" w:rsidP="00831200">
      <w:pPr>
        <w:rPr>
          <w:rFonts w:cs="Arial"/>
        </w:rPr>
      </w:pPr>
    </w:p>
    <w:p w:rsidR="00831200" w:rsidRPr="00831200" w:rsidRDefault="00831200" w:rsidP="00831200">
      <w:pPr>
        <w:rPr>
          <w:rFonts w:cs="Arial"/>
        </w:rPr>
      </w:pPr>
      <w:r w:rsidRPr="00831200">
        <w:rPr>
          <w:rFonts w:cs="Arial"/>
        </w:rPr>
        <w:t xml:space="preserve">On November 20, 2014, the </w:t>
      </w:r>
      <w:r w:rsidRPr="003D30B8">
        <w:rPr>
          <w:rFonts w:cs="Arial"/>
          <w:i/>
        </w:rPr>
        <w:t>Fighting Fraud and Reducing Automobile Insurance Rates Act, 201</w:t>
      </w:r>
      <w:r w:rsidR="008C6FA2" w:rsidRPr="003D30B8">
        <w:rPr>
          <w:rFonts w:cs="Arial"/>
          <w:i/>
        </w:rPr>
        <w:t>4</w:t>
      </w:r>
      <w:r w:rsidRPr="00831200">
        <w:rPr>
          <w:rFonts w:cs="Arial"/>
        </w:rPr>
        <w:t xml:space="preserve"> received Royal Assent. The MGCS</w:t>
      </w:r>
      <w:r w:rsidR="00CC3BE2">
        <w:rPr>
          <w:rFonts w:cs="Arial"/>
        </w:rPr>
        <w:t>-</w:t>
      </w:r>
      <w:r w:rsidRPr="00831200">
        <w:rPr>
          <w:rFonts w:cs="Arial"/>
        </w:rPr>
        <w:t>led</w:t>
      </w:r>
      <w:r w:rsidR="00CC3BE2">
        <w:rPr>
          <w:rFonts w:cs="Arial"/>
        </w:rPr>
        <w:t xml:space="preserve"> </w:t>
      </w:r>
      <w:r w:rsidRPr="00831200">
        <w:rPr>
          <w:rFonts w:cs="Arial"/>
        </w:rPr>
        <w:t>provisions of the Act:</w:t>
      </w:r>
    </w:p>
    <w:p w:rsidR="00831200" w:rsidRPr="00831200" w:rsidRDefault="001C5652" w:rsidP="0031373D">
      <w:pPr>
        <w:numPr>
          <w:ilvl w:val="0"/>
          <w:numId w:val="14"/>
        </w:numPr>
        <w:contextualSpacing/>
        <w:rPr>
          <w:rFonts w:eastAsia="Calibri" w:cs="Arial"/>
          <w:lang w:eastAsia="en-US"/>
        </w:rPr>
      </w:pPr>
      <w:r>
        <w:rPr>
          <w:rFonts w:eastAsia="Calibri" w:cs="Arial"/>
          <w:lang w:eastAsia="en-US"/>
        </w:rPr>
        <w:t>A</w:t>
      </w:r>
      <w:r w:rsidR="00831200" w:rsidRPr="00831200">
        <w:rPr>
          <w:rFonts w:eastAsia="Calibri" w:cs="Arial"/>
          <w:lang w:eastAsia="en-US"/>
        </w:rPr>
        <w:t>mend the CPA</w:t>
      </w:r>
      <w:r w:rsidR="007A7674">
        <w:rPr>
          <w:rFonts w:eastAsia="Calibri" w:cs="Arial"/>
          <w:lang w:eastAsia="en-US"/>
        </w:rPr>
        <w:t xml:space="preserve"> </w:t>
      </w:r>
      <w:r w:rsidR="00831200" w:rsidRPr="00831200">
        <w:rPr>
          <w:rFonts w:eastAsia="Calibri" w:cs="Arial"/>
          <w:lang w:eastAsia="en-US"/>
        </w:rPr>
        <w:t>to establish tow and storage specific consumer protection measures;</w:t>
      </w:r>
      <w:r>
        <w:rPr>
          <w:rFonts w:eastAsia="Calibri" w:cs="Arial"/>
          <w:lang w:eastAsia="en-US"/>
        </w:rPr>
        <w:t xml:space="preserve"> and</w:t>
      </w:r>
    </w:p>
    <w:p w:rsidR="00831200" w:rsidRPr="00831200" w:rsidRDefault="001C5652" w:rsidP="0031373D">
      <w:pPr>
        <w:numPr>
          <w:ilvl w:val="0"/>
          <w:numId w:val="14"/>
        </w:numPr>
        <w:contextualSpacing/>
        <w:rPr>
          <w:rFonts w:eastAsia="Calibri" w:cs="Arial"/>
          <w:lang w:eastAsia="en-US"/>
        </w:rPr>
      </w:pPr>
      <w:r>
        <w:rPr>
          <w:rFonts w:eastAsia="Calibri" w:cs="Arial"/>
          <w:lang w:eastAsia="en-US"/>
        </w:rPr>
        <w:t>A</w:t>
      </w:r>
      <w:r w:rsidR="00831200" w:rsidRPr="00831200">
        <w:rPr>
          <w:rFonts w:eastAsia="Calibri" w:cs="Arial"/>
          <w:lang w:eastAsia="en-US"/>
        </w:rPr>
        <w:t xml:space="preserve">mend the RSLA to address storage </w:t>
      </w:r>
      <w:r>
        <w:rPr>
          <w:rFonts w:eastAsia="Calibri" w:cs="Arial"/>
          <w:lang w:eastAsia="en-US"/>
        </w:rPr>
        <w:t>notification and related issues.</w:t>
      </w:r>
    </w:p>
    <w:p w:rsidR="00831200" w:rsidRPr="00831200" w:rsidRDefault="00831200" w:rsidP="00831200">
      <w:pPr>
        <w:rPr>
          <w:rFonts w:cs="Arial"/>
        </w:rPr>
      </w:pPr>
    </w:p>
    <w:p w:rsidR="00831200" w:rsidRPr="00831200" w:rsidRDefault="0031373D" w:rsidP="00831200">
      <w:pPr>
        <w:rPr>
          <w:rFonts w:cs="Arial"/>
        </w:rPr>
      </w:pPr>
      <w:r>
        <w:rPr>
          <w:rFonts w:cs="Arial"/>
        </w:rPr>
        <w:t xml:space="preserve">To </w:t>
      </w:r>
      <w:r w:rsidRPr="00831200">
        <w:rPr>
          <w:rFonts w:cs="Arial"/>
        </w:rPr>
        <w:t xml:space="preserve">assist in the development </w:t>
      </w:r>
      <w:r>
        <w:rPr>
          <w:rFonts w:cs="Arial"/>
        </w:rPr>
        <w:t>of proposed regulations, the t</w:t>
      </w:r>
      <w:r w:rsidR="00831200" w:rsidRPr="00831200">
        <w:rPr>
          <w:rFonts w:cs="Arial"/>
        </w:rPr>
        <w:t>owing and storage consultation panel</w:t>
      </w:r>
      <w:r w:rsidR="00A20F07">
        <w:rPr>
          <w:rFonts w:cs="Arial"/>
        </w:rPr>
        <w:t xml:space="preserve"> </w:t>
      </w:r>
      <w:r>
        <w:rPr>
          <w:rFonts w:cs="Arial"/>
        </w:rPr>
        <w:t xml:space="preserve">provided recommendations to government. </w:t>
      </w:r>
      <w:r w:rsidR="00341C5E">
        <w:rPr>
          <w:rFonts w:cs="Arial"/>
        </w:rPr>
        <w:t>The ministry received a</w:t>
      </w:r>
      <w:r>
        <w:rPr>
          <w:rFonts w:cs="Arial"/>
        </w:rPr>
        <w:t xml:space="preserve">dditional feedback on the </w:t>
      </w:r>
      <w:r w:rsidR="00341C5E">
        <w:rPr>
          <w:rFonts w:cs="Arial"/>
        </w:rPr>
        <w:t xml:space="preserve">panel’s </w:t>
      </w:r>
      <w:r>
        <w:rPr>
          <w:rFonts w:cs="Arial"/>
        </w:rPr>
        <w:t xml:space="preserve">recommendations during </w:t>
      </w:r>
      <w:r w:rsidR="00831200" w:rsidRPr="00831200">
        <w:rPr>
          <w:rFonts w:cs="Arial"/>
        </w:rPr>
        <w:t xml:space="preserve">regional consultation sessions </w:t>
      </w:r>
      <w:r>
        <w:rPr>
          <w:rFonts w:cs="Arial"/>
        </w:rPr>
        <w:t>(</w:t>
      </w:r>
      <w:r w:rsidR="008C6FA2">
        <w:rPr>
          <w:rFonts w:cs="Arial"/>
        </w:rPr>
        <w:t xml:space="preserve">held </w:t>
      </w:r>
      <w:r w:rsidR="00831200" w:rsidRPr="00831200">
        <w:rPr>
          <w:rFonts w:cs="Arial"/>
        </w:rPr>
        <w:t>in Mississauga, London, Pickering, Ottawa and Sudbury</w:t>
      </w:r>
      <w:r>
        <w:rPr>
          <w:rFonts w:cs="Arial"/>
        </w:rPr>
        <w:t>) and through</w:t>
      </w:r>
      <w:r w:rsidR="00341C5E">
        <w:rPr>
          <w:rFonts w:cs="Arial"/>
        </w:rPr>
        <w:t xml:space="preserve"> </w:t>
      </w:r>
      <w:r>
        <w:rPr>
          <w:rFonts w:cs="Arial"/>
        </w:rPr>
        <w:t xml:space="preserve">the </w:t>
      </w:r>
      <w:r w:rsidR="00341C5E">
        <w:rPr>
          <w:rFonts w:cs="Arial"/>
        </w:rPr>
        <w:t>r</w:t>
      </w:r>
      <w:r>
        <w:rPr>
          <w:rFonts w:cs="Arial"/>
        </w:rPr>
        <w:t xml:space="preserve">egulatory registry posting </w:t>
      </w:r>
      <w:r w:rsidR="00CC3BE2">
        <w:rPr>
          <w:rFonts w:cs="Arial"/>
        </w:rPr>
        <w:t xml:space="preserve">of the Towing </w:t>
      </w:r>
      <w:r w:rsidR="00CC3BE2" w:rsidRPr="00CF62C2">
        <w:rPr>
          <w:rFonts w:cs="Arial"/>
        </w:rPr>
        <w:t xml:space="preserve">and Vehicle Storage Consultations Findings and Recommendations Report </w:t>
      </w:r>
      <w:r w:rsidR="00F4132A">
        <w:rPr>
          <w:rFonts w:cs="Arial"/>
        </w:rPr>
        <w:t xml:space="preserve">which occurred from </w:t>
      </w:r>
      <w:r>
        <w:rPr>
          <w:rFonts w:cs="Arial"/>
        </w:rPr>
        <w:t>July 14</w:t>
      </w:r>
      <w:r w:rsidR="00F4132A">
        <w:rPr>
          <w:rFonts w:cs="Arial"/>
        </w:rPr>
        <w:t xml:space="preserve"> – </w:t>
      </w:r>
      <w:r>
        <w:rPr>
          <w:rFonts w:cs="Arial"/>
        </w:rPr>
        <w:t>August 12, 2015.</w:t>
      </w:r>
    </w:p>
    <w:p w:rsidR="00831200" w:rsidRPr="00831200" w:rsidRDefault="00831200" w:rsidP="00831200">
      <w:pPr>
        <w:rPr>
          <w:rFonts w:cs="Arial"/>
        </w:rPr>
      </w:pPr>
    </w:p>
    <w:p w:rsidR="003D61D2" w:rsidRDefault="0031373D" w:rsidP="00831200">
      <w:pPr>
        <w:rPr>
          <w:rFonts w:cs="Arial"/>
          <w:color w:val="000000"/>
        </w:rPr>
      </w:pPr>
      <w:r>
        <w:rPr>
          <w:rFonts w:cs="Arial"/>
          <w:color w:val="000000"/>
        </w:rPr>
        <w:t xml:space="preserve">Links to the proposed regulations </w:t>
      </w:r>
      <w:r w:rsidR="00F4132A">
        <w:rPr>
          <w:rFonts w:cs="Arial"/>
          <w:color w:val="000000"/>
        </w:rPr>
        <w:t>and a summary report ca</w:t>
      </w:r>
      <w:r>
        <w:rPr>
          <w:rFonts w:cs="Arial"/>
          <w:color w:val="000000"/>
        </w:rPr>
        <w:t>n be found below</w:t>
      </w:r>
      <w:r w:rsidR="00F4132A">
        <w:rPr>
          <w:rFonts w:cs="Arial"/>
          <w:color w:val="000000"/>
        </w:rPr>
        <w:t>.</w:t>
      </w:r>
      <w:r w:rsidR="00831200" w:rsidRPr="00831200">
        <w:rPr>
          <w:rFonts w:cs="Arial"/>
          <w:color w:val="000000"/>
        </w:rPr>
        <w:t xml:space="preserve"> </w:t>
      </w:r>
    </w:p>
    <w:p w:rsidR="003D61D2" w:rsidRDefault="003D61D2" w:rsidP="00831200">
      <w:pPr>
        <w:rPr>
          <w:rFonts w:cs="Arial"/>
          <w:color w:val="000000"/>
        </w:rPr>
      </w:pPr>
    </w:p>
    <w:p w:rsidR="004C2771" w:rsidRPr="00292D1B" w:rsidRDefault="004C2771" w:rsidP="004C2771">
      <w:pPr>
        <w:jc w:val="both"/>
        <w:rPr>
          <w:rFonts w:cs="Arial"/>
          <w:b/>
          <w:bCs/>
        </w:rPr>
      </w:pPr>
      <w:bookmarkStart w:id="0" w:name="_GoBack"/>
      <w:bookmarkEnd w:id="0"/>
      <w:r w:rsidRPr="00292D1B">
        <w:rPr>
          <w:rFonts w:cs="Arial"/>
          <w:b/>
          <w:bCs/>
        </w:rPr>
        <w:t>How You Can Help</w:t>
      </w:r>
    </w:p>
    <w:p w:rsidR="000F7D07" w:rsidRDefault="000F7D07" w:rsidP="004C2771">
      <w:pPr>
        <w:rPr>
          <w:rFonts w:cs="Arial"/>
          <w:bCs/>
        </w:rPr>
      </w:pPr>
    </w:p>
    <w:p w:rsidR="004C2771" w:rsidRDefault="000F7D07" w:rsidP="004C2771">
      <w:pPr>
        <w:rPr>
          <w:rFonts w:cs="Arial"/>
          <w:bCs/>
        </w:rPr>
      </w:pPr>
      <w:r w:rsidRPr="00831200">
        <w:rPr>
          <w:rFonts w:cs="Arial"/>
          <w:color w:val="000000"/>
        </w:rPr>
        <w:t xml:space="preserve">The ministry welcomes feedback </w:t>
      </w:r>
      <w:r w:rsidR="001C5652">
        <w:rPr>
          <w:rFonts w:cs="Arial"/>
          <w:color w:val="000000"/>
        </w:rPr>
        <w:t xml:space="preserve">on </w:t>
      </w:r>
      <w:r w:rsidR="001C5652" w:rsidRPr="00743919">
        <w:rPr>
          <w:rFonts w:cs="Arial"/>
          <w:color w:val="000000"/>
        </w:rPr>
        <w:t xml:space="preserve">the </w:t>
      </w:r>
      <w:r w:rsidR="005E0760">
        <w:rPr>
          <w:rFonts w:cs="Arial"/>
          <w:color w:val="000000"/>
        </w:rPr>
        <w:t xml:space="preserve">proposed </w:t>
      </w:r>
      <w:r w:rsidR="001C5652" w:rsidRPr="00743919">
        <w:rPr>
          <w:rFonts w:cs="Arial"/>
          <w:color w:val="000000"/>
        </w:rPr>
        <w:t xml:space="preserve">regulations </w:t>
      </w:r>
      <w:r w:rsidRPr="00743919">
        <w:rPr>
          <w:rFonts w:cs="Arial"/>
          <w:color w:val="000000"/>
        </w:rPr>
        <w:t>and</w:t>
      </w:r>
      <w:r w:rsidRPr="00831200">
        <w:rPr>
          <w:rFonts w:cs="Arial"/>
          <w:color w:val="000000"/>
        </w:rPr>
        <w:t xml:space="preserve"> encourages anyone interested to provide comments.</w:t>
      </w:r>
      <w:r w:rsidR="004C2771" w:rsidRPr="00457803">
        <w:rPr>
          <w:rFonts w:cs="Arial"/>
          <w:bCs/>
        </w:rPr>
        <w:t xml:space="preserve"> </w:t>
      </w:r>
    </w:p>
    <w:p w:rsidR="004C2771" w:rsidRDefault="004C2771" w:rsidP="004C2771">
      <w:pPr>
        <w:rPr>
          <w:rFonts w:cs="Arial"/>
          <w:bCs/>
        </w:rPr>
      </w:pPr>
    </w:p>
    <w:p w:rsidR="004C2771" w:rsidRDefault="004C2771" w:rsidP="004C2771">
      <w:pPr>
        <w:rPr>
          <w:rFonts w:cs="Arial"/>
          <w:bCs/>
        </w:rPr>
      </w:pPr>
      <w:r>
        <w:rPr>
          <w:rFonts w:cs="Arial"/>
          <w:bCs/>
        </w:rPr>
        <w:t>Y</w:t>
      </w:r>
      <w:r w:rsidRPr="00457803">
        <w:rPr>
          <w:rFonts w:cs="Arial"/>
          <w:bCs/>
        </w:rPr>
        <w:t xml:space="preserve">ou </w:t>
      </w:r>
      <w:r>
        <w:rPr>
          <w:rFonts w:cs="Arial"/>
          <w:bCs/>
        </w:rPr>
        <w:t>may</w:t>
      </w:r>
      <w:r w:rsidRPr="00457803">
        <w:rPr>
          <w:rFonts w:cs="Arial"/>
          <w:bCs/>
        </w:rPr>
        <w:t xml:space="preserve"> submit your </w:t>
      </w:r>
      <w:r w:rsidR="00743919">
        <w:rPr>
          <w:rFonts w:cs="Arial"/>
          <w:bCs/>
        </w:rPr>
        <w:t>feedback</w:t>
      </w:r>
      <w:r w:rsidR="00341C5E">
        <w:rPr>
          <w:rFonts w:cs="Arial"/>
          <w:bCs/>
        </w:rPr>
        <w:t xml:space="preserve"> </w:t>
      </w:r>
      <w:r w:rsidR="00743919">
        <w:rPr>
          <w:rFonts w:cs="Arial"/>
          <w:bCs/>
        </w:rPr>
        <w:t>by</w:t>
      </w:r>
      <w:r>
        <w:rPr>
          <w:rFonts w:cs="Arial"/>
          <w:bCs/>
        </w:rPr>
        <w:t xml:space="preserve">: </w:t>
      </w:r>
    </w:p>
    <w:p w:rsidR="004C2771" w:rsidRPr="00831B36" w:rsidRDefault="00743919" w:rsidP="004C2771">
      <w:pPr>
        <w:pStyle w:val="ListParagraph"/>
        <w:widowControl w:val="0"/>
        <w:numPr>
          <w:ilvl w:val="0"/>
          <w:numId w:val="2"/>
        </w:numPr>
        <w:tabs>
          <w:tab w:val="left" w:pos="450"/>
        </w:tabs>
        <w:snapToGrid w:val="0"/>
        <w:rPr>
          <w:rFonts w:ascii="Arial" w:hAnsi="Arial" w:cs="Arial"/>
          <w:sz w:val="24"/>
        </w:rPr>
      </w:pPr>
      <w:r>
        <w:rPr>
          <w:rFonts w:ascii="Arial" w:hAnsi="Arial" w:cs="Arial"/>
          <w:sz w:val="24"/>
        </w:rPr>
        <w:t xml:space="preserve">Commenting on the proposal through the </w:t>
      </w:r>
      <w:r w:rsidR="004C2771" w:rsidRPr="00831B36">
        <w:rPr>
          <w:rFonts w:ascii="Arial" w:hAnsi="Arial" w:cs="Arial"/>
          <w:sz w:val="24"/>
        </w:rPr>
        <w:t>Regulatory Registry;</w:t>
      </w:r>
    </w:p>
    <w:p w:rsidR="004C2771" w:rsidRPr="00831B36" w:rsidRDefault="00743919" w:rsidP="004C2771">
      <w:pPr>
        <w:pStyle w:val="ListParagraph"/>
        <w:widowControl w:val="0"/>
        <w:numPr>
          <w:ilvl w:val="0"/>
          <w:numId w:val="2"/>
        </w:numPr>
        <w:tabs>
          <w:tab w:val="left" w:pos="450"/>
        </w:tabs>
        <w:snapToGrid w:val="0"/>
        <w:rPr>
          <w:rFonts w:ascii="Arial" w:hAnsi="Arial" w:cs="Arial"/>
          <w:sz w:val="24"/>
        </w:rPr>
      </w:pPr>
      <w:r>
        <w:rPr>
          <w:rFonts w:ascii="Arial" w:hAnsi="Arial" w:cs="Arial"/>
          <w:sz w:val="24"/>
        </w:rPr>
        <w:t>E</w:t>
      </w:r>
      <w:r w:rsidR="004C2771" w:rsidRPr="00831B36">
        <w:rPr>
          <w:rFonts w:ascii="Arial" w:hAnsi="Arial" w:cs="Arial"/>
          <w:sz w:val="24"/>
        </w:rPr>
        <w:t xml:space="preserve">-mailing </w:t>
      </w:r>
      <w:hyperlink r:id="rId10" w:history="1">
        <w:r w:rsidR="00637FF7" w:rsidRPr="00637FF7">
          <w:rPr>
            <w:rFonts w:ascii="Arial" w:hAnsi="Arial" w:cs="Arial"/>
            <w:color w:val="0000FF" w:themeColor="hyperlink"/>
            <w:sz w:val="24"/>
            <w:szCs w:val="24"/>
            <w:u w:val="single"/>
          </w:rPr>
          <w:t>towingandstorage@ontario.ca</w:t>
        </w:r>
      </w:hyperlink>
      <w:r w:rsidR="004C2771" w:rsidRPr="00637FF7">
        <w:rPr>
          <w:rFonts w:ascii="Arial" w:hAnsi="Arial" w:cs="Arial"/>
          <w:sz w:val="24"/>
          <w:szCs w:val="24"/>
        </w:rPr>
        <w:t xml:space="preserve"> </w:t>
      </w:r>
      <w:r w:rsidR="004C2771" w:rsidRPr="00831B36">
        <w:rPr>
          <w:rFonts w:ascii="Arial" w:hAnsi="Arial" w:cs="Arial"/>
          <w:sz w:val="24"/>
        </w:rPr>
        <w:t>with “</w:t>
      </w:r>
      <w:r w:rsidR="00637FF7" w:rsidRPr="00637FF7">
        <w:rPr>
          <w:rFonts w:ascii="Arial" w:hAnsi="Arial" w:cs="Arial"/>
          <w:sz w:val="24"/>
          <w:szCs w:val="24"/>
        </w:rPr>
        <w:t xml:space="preserve">Towing and Vehicle Storage </w:t>
      </w:r>
      <w:r w:rsidR="00612B97">
        <w:rPr>
          <w:rFonts w:ascii="Arial" w:hAnsi="Arial" w:cs="Arial"/>
          <w:sz w:val="24"/>
          <w:szCs w:val="24"/>
        </w:rPr>
        <w:t>Proposed</w:t>
      </w:r>
      <w:r>
        <w:rPr>
          <w:rFonts w:ascii="Arial" w:hAnsi="Arial" w:cs="Arial"/>
          <w:sz w:val="24"/>
          <w:szCs w:val="24"/>
        </w:rPr>
        <w:t xml:space="preserve"> Regulations</w:t>
      </w:r>
      <w:r w:rsidR="004C2771" w:rsidRPr="00831B36">
        <w:rPr>
          <w:rFonts w:ascii="Arial" w:hAnsi="Arial" w:cs="Arial"/>
          <w:sz w:val="24"/>
        </w:rPr>
        <w:t>” in the subject line; or</w:t>
      </w:r>
    </w:p>
    <w:p w:rsidR="004C2771" w:rsidRPr="00831B36" w:rsidRDefault="00743919" w:rsidP="004C2771">
      <w:pPr>
        <w:pStyle w:val="ListParagraph"/>
        <w:widowControl w:val="0"/>
        <w:numPr>
          <w:ilvl w:val="0"/>
          <w:numId w:val="2"/>
        </w:numPr>
        <w:tabs>
          <w:tab w:val="left" w:pos="450"/>
        </w:tabs>
        <w:snapToGrid w:val="0"/>
        <w:rPr>
          <w:rFonts w:ascii="Arial" w:hAnsi="Arial" w:cs="Arial"/>
          <w:sz w:val="24"/>
        </w:rPr>
      </w:pPr>
      <w:r>
        <w:rPr>
          <w:rFonts w:ascii="Arial" w:hAnsi="Arial" w:cs="Arial"/>
          <w:sz w:val="24"/>
        </w:rPr>
        <w:t xml:space="preserve">Mailing comments </w:t>
      </w:r>
      <w:r w:rsidR="004C2771" w:rsidRPr="00831B36">
        <w:rPr>
          <w:rFonts w:ascii="Arial" w:hAnsi="Arial" w:cs="Arial"/>
          <w:sz w:val="24"/>
        </w:rPr>
        <w:t>to:</w:t>
      </w:r>
    </w:p>
    <w:p w:rsidR="00637FF7" w:rsidRPr="00637FF7" w:rsidRDefault="00637FF7" w:rsidP="00637FF7">
      <w:pPr>
        <w:ind w:left="1080"/>
        <w:rPr>
          <w:rFonts w:eastAsiaTheme="minorEastAsia" w:cs="Arial"/>
          <w:noProof/>
        </w:rPr>
      </w:pPr>
      <w:r w:rsidRPr="00637FF7">
        <w:rPr>
          <w:rFonts w:eastAsiaTheme="minorEastAsia" w:cs="Arial"/>
          <w:noProof/>
        </w:rPr>
        <w:t>Ministry of Government and Consumer Services</w:t>
      </w:r>
    </w:p>
    <w:p w:rsidR="00637FF7" w:rsidRPr="00637FF7" w:rsidRDefault="00637FF7" w:rsidP="00637FF7">
      <w:pPr>
        <w:ind w:left="1080"/>
        <w:rPr>
          <w:rFonts w:eastAsiaTheme="minorEastAsia" w:cs="Arial"/>
          <w:noProof/>
        </w:rPr>
      </w:pPr>
      <w:r w:rsidRPr="00637FF7">
        <w:rPr>
          <w:rFonts w:eastAsiaTheme="minorEastAsia" w:cs="Arial"/>
          <w:noProof/>
        </w:rPr>
        <w:t>Consumer Policy and Liaison Branch</w:t>
      </w:r>
    </w:p>
    <w:p w:rsidR="00637FF7" w:rsidRPr="00637FF7" w:rsidRDefault="00637FF7" w:rsidP="00637FF7">
      <w:pPr>
        <w:ind w:left="1080"/>
        <w:rPr>
          <w:rFonts w:eastAsiaTheme="minorEastAsia" w:cs="Arial"/>
          <w:noProof/>
        </w:rPr>
      </w:pPr>
      <w:r w:rsidRPr="00637FF7">
        <w:rPr>
          <w:rFonts w:eastAsiaTheme="minorEastAsia" w:cs="Arial"/>
          <w:noProof/>
        </w:rPr>
        <w:t>777 Bay Street, 5</w:t>
      </w:r>
      <w:r w:rsidRPr="00637FF7">
        <w:rPr>
          <w:rFonts w:eastAsiaTheme="minorEastAsia" w:cs="Arial"/>
          <w:noProof/>
          <w:vertAlign w:val="superscript"/>
        </w:rPr>
        <w:t>th</w:t>
      </w:r>
      <w:r w:rsidRPr="00637FF7">
        <w:rPr>
          <w:rFonts w:eastAsiaTheme="minorEastAsia" w:cs="Arial"/>
          <w:noProof/>
        </w:rPr>
        <w:t xml:space="preserve"> Floor, Toronto, Ontario M7A 2J3</w:t>
      </w:r>
    </w:p>
    <w:p w:rsidR="004C2771" w:rsidRPr="00637FF7" w:rsidRDefault="004C2771" w:rsidP="00637FF7">
      <w:pPr>
        <w:ind w:left="360"/>
        <w:rPr>
          <w:rFonts w:cs="Arial"/>
          <w:bCs/>
        </w:rPr>
      </w:pPr>
    </w:p>
    <w:p w:rsidR="004C2771" w:rsidRPr="00831B36" w:rsidRDefault="004C2771" w:rsidP="004C2771">
      <w:pPr>
        <w:rPr>
          <w:rFonts w:cs="Arial"/>
        </w:rPr>
      </w:pPr>
      <w:r w:rsidRPr="00831B36">
        <w:rPr>
          <w:rFonts w:cs="Arial"/>
          <w:bCs/>
        </w:rPr>
        <w:t xml:space="preserve">You may submit </w:t>
      </w:r>
      <w:r w:rsidR="00743919">
        <w:rPr>
          <w:rFonts w:cs="Arial"/>
          <w:bCs/>
        </w:rPr>
        <w:t xml:space="preserve">comments </w:t>
      </w:r>
      <w:r w:rsidRPr="00831B36">
        <w:rPr>
          <w:rFonts w:cs="Arial"/>
          <w:bCs/>
        </w:rPr>
        <w:t xml:space="preserve">directly or use the feedback form provided. </w:t>
      </w:r>
    </w:p>
    <w:p w:rsidR="004C2771" w:rsidRPr="00831B36" w:rsidRDefault="004C2771" w:rsidP="004C2771">
      <w:pPr>
        <w:pStyle w:val="Default"/>
      </w:pPr>
    </w:p>
    <w:p w:rsidR="004C2771" w:rsidRPr="00831B36" w:rsidRDefault="004C2771" w:rsidP="004C2771">
      <w:pPr>
        <w:pStyle w:val="Default"/>
      </w:pPr>
      <w:r w:rsidRPr="00831B36">
        <w:t>Thank you for taking the time to review the</w:t>
      </w:r>
      <w:r w:rsidR="00743919">
        <w:t xml:space="preserve"> draft regulations</w:t>
      </w:r>
      <w:r w:rsidRPr="00831B36">
        <w:t>. We look forward to your response.</w:t>
      </w:r>
    </w:p>
    <w:p w:rsidR="004C2771" w:rsidRPr="00680894" w:rsidRDefault="004C2771" w:rsidP="004C2771">
      <w:pPr>
        <w:rPr>
          <w:rFonts w:cs="Arial"/>
          <w:highlight w:val="yellow"/>
        </w:rPr>
      </w:pPr>
    </w:p>
    <w:p w:rsidR="004C2771" w:rsidRDefault="004C2771" w:rsidP="004C2771">
      <w:pPr>
        <w:rPr>
          <w:rFonts w:cs="Arial"/>
          <w:lang w:eastAsia="en-US"/>
        </w:rPr>
      </w:pPr>
      <w:r w:rsidRPr="00680894">
        <w:rPr>
          <w:rFonts w:cs="Arial"/>
          <w:b/>
        </w:rPr>
        <w:t xml:space="preserve">Subject Keywords:  </w:t>
      </w:r>
      <w:r w:rsidR="006471A0">
        <w:rPr>
          <w:rFonts w:cs="Arial"/>
          <w:lang w:eastAsia="en-US"/>
        </w:rPr>
        <w:t>towing</w:t>
      </w:r>
      <w:r w:rsidR="006B4198">
        <w:rPr>
          <w:rFonts w:cs="Arial"/>
          <w:lang w:eastAsia="en-US"/>
        </w:rPr>
        <w:t xml:space="preserve">, </w:t>
      </w:r>
      <w:r w:rsidR="006471A0">
        <w:rPr>
          <w:rFonts w:cs="Arial"/>
          <w:lang w:eastAsia="en-US"/>
        </w:rPr>
        <w:t>tow</w:t>
      </w:r>
      <w:r w:rsidR="00AD7FA8">
        <w:rPr>
          <w:rFonts w:cs="Arial"/>
          <w:lang w:eastAsia="en-US"/>
        </w:rPr>
        <w:t xml:space="preserve"> truck operator, tow truck owner</w:t>
      </w:r>
      <w:r w:rsidR="006B4198">
        <w:rPr>
          <w:rFonts w:cs="Arial"/>
          <w:lang w:eastAsia="en-US"/>
        </w:rPr>
        <w:t>,</w:t>
      </w:r>
      <w:r w:rsidR="00D04DA9" w:rsidRPr="00D04DA9">
        <w:rPr>
          <w:rFonts w:cs="Arial"/>
          <w:lang w:eastAsia="en-US"/>
        </w:rPr>
        <w:t xml:space="preserve"> </w:t>
      </w:r>
      <w:r w:rsidR="00CC3BE2">
        <w:rPr>
          <w:rFonts w:cs="Arial"/>
          <w:lang w:eastAsia="en-US"/>
        </w:rPr>
        <w:t xml:space="preserve">tow truck driver, tow truck broker, </w:t>
      </w:r>
      <w:proofErr w:type="spellStart"/>
      <w:r w:rsidR="006471A0">
        <w:rPr>
          <w:rFonts w:cs="Arial"/>
          <w:lang w:eastAsia="en-US"/>
        </w:rPr>
        <w:t>storer</w:t>
      </w:r>
      <w:proofErr w:type="spellEnd"/>
      <w:r w:rsidR="006471A0">
        <w:rPr>
          <w:rFonts w:cs="Arial"/>
          <w:lang w:eastAsia="en-US"/>
        </w:rPr>
        <w:t xml:space="preserve">, </w:t>
      </w:r>
      <w:r w:rsidR="00736AB9">
        <w:rPr>
          <w:rFonts w:cs="Arial"/>
          <w:lang w:eastAsia="en-US"/>
        </w:rPr>
        <w:t xml:space="preserve">requirements, </w:t>
      </w:r>
      <w:r w:rsidR="006471A0">
        <w:rPr>
          <w:rFonts w:cs="Arial"/>
          <w:lang w:eastAsia="en-US"/>
        </w:rPr>
        <w:t xml:space="preserve">consumer, </w:t>
      </w:r>
      <w:r w:rsidR="00736AB9">
        <w:rPr>
          <w:rFonts w:cs="Arial"/>
          <w:lang w:eastAsia="en-US"/>
        </w:rPr>
        <w:t xml:space="preserve">rights, </w:t>
      </w:r>
      <w:r w:rsidR="006471A0">
        <w:rPr>
          <w:rFonts w:cs="Arial"/>
          <w:lang w:eastAsia="en-US"/>
        </w:rPr>
        <w:t xml:space="preserve">notification period, fair value, </w:t>
      </w:r>
      <w:r w:rsidR="00736AB9">
        <w:rPr>
          <w:rFonts w:cs="Arial"/>
          <w:lang w:eastAsia="en-US"/>
        </w:rPr>
        <w:t>municipalities, municipal</w:t>
      </w:r>
      <w:r w:rsidR="00F868C3">
        <w:rPr>
          <w:rFonts w:cs="Arial"/>
          <w:lang w:eastAsia="en-US"/>
        </w:rPr>
        <w:t>, lien</w:t>
      </w:r>
    </w:p>
    <w:p w:rsidR="00736AB9" w:rsidRPr="0047320A" w:rsidRDefault="00736AB9" w:rsidP="004C2771">
      <w:pPr>
        <w:rPr>
          <w:rFonts w:cs="Arial"/>
          <w:highlight w:val="yellow"/>
        </w:rPr>
      </w:pPr>
    </w:p>
    <w:p w:rsidR="004C2771" w:rsidRPr="00A32E67" w:rsidRDefault="004C2771" w:rsidP="004C2771">
      <w:pPr>
        <w:rPr>
          <w:rFonts w:cs="Arial"/>
        </w:rPr>
      </w:pPr>
      <w:r w:rsidRPr="00EC6B81">
        <w:rPr>
          <w:rFonts w:cs="Arial"/>
          <w:b/>
        </w:rPr>
        <w:t xml:space="preserve">Posting Date: </w:t>
      </w:r>
      <w:r>
        <w:rPr>
          <w:rFonts w:cs="Arial"/>
        </w:rPr>
        <w:t xml:space="preserve"> </w:t>
      </w:r>
      <w:r w:rsidR="00A32E67" w:rsidRPr="00A809F4">
        <w:rPr>
          <w:rFonts w:cs="Arial"/>
        </w:rPr>
        <w:t xml:space="preserve">September </w:t>
      </w:r>
      <w:r w:rsidR="0070231A">
        <w:rPr>
          <w:rFonts w:cs="Arial"/>
        </w:rPr>
        <w:t>1</w:t>
      </w:r>
      <w:r w:rsidR="00DA39B5">
        <w:rPr>
          <w:rFonts w:cs="Arial"/>
        </w:rPr>
        <w:t>6</w:t>
      </w:r>
      <w:r w:rsidR="00A32E67" w:rsidRPr="00A809F4">
        <w:rPr>
          <w:rFonts w:cs="Arial"/>
        </w:rPr>
        <w:t>, 2015</w:t>
      </w:r>
    </w:p>
    <w:p w:rsidR="004C2771" w:rsidRPr="00E13C8D" w:rsidRDefault="004C2771" w:rsidP="004C2771">
      <w:pPr>
        <w:rPr>
          <w:rFonts w:cs="Arial"/>
          <w:highlight w:val="yellow"/>
        </w:rPr>
      </w:pPr>
      <w:r w:rsidRPr="00EC6B81">
        <w:rPr>
          <w:rFonts w:cs="Arial"/>
          <w:b/>
        </w:rPr>
        <w:t>Comments Due Date:</w:t>
      </w:r>
      <w:r w:rsidR="002C1F4F">
        <w:rPr>
          <w:rFonts w:cs="Arial"/>
          <w:b/>
        </w:rPr>
        <w:t xml:space="preserve"> </w:t>
      </w:r>
      <w:r w:rsidR="00A32E67" w:rsidRPr="00A809F4">
        <w:rPr>
          <w:rFonts w:cs="Arial"/>
        </w:rPr>
        <w:t xml:space="preserve">October </w:t>
      </w:r>
      <w:r w:rsidR="00DA39B5">
        <w:rPr>
          <w:rFonts w:cs="Arial"/>
        </w:rPr>
        <w:t>30</w:t>
      </w:r>
      <w:r w:rsidR="00A32E67" w:rsidRPr="00A809F4">
        <w:rPr>
          <w:rFonts w:cs="Arial"/>
        </w:rPr>
        <w:t>, 2015</w:t>
      </w:r>
    </w:p>
    <w:p w:rsidR="004C2771" w:rsidRPr="00BE5154" w:rsidRDefault="004C2771" w:rsidP="004C2771">
      <w:pPr>
        <w:rPr>
          <w:rFonts w:cs="Arial"/>
          <w:bCs/>
        </w:rPr>
      </w:pPr>
    </w:p>
    <w:p w:rsidR="004C2771" w:rsidRDefault="004C2771" w:rsidP="004C2771">
      <w:pPr>
        <w:rPr>
          <w:rFonts w:cs="Arial"/>
        </w:rPr>
      </w:pPr>
    </w:p>
    <w:p w:rsidR="004C2771" w:rsidRDefault="004C2771" w:rsidP="004C2771">
      <w:pPr>
        <w:sectPr w:rsidR="004C2771" w:rsidSect="0027324C">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900" w:left="1440" w:header="720" w:footer="720" w:gutter="0"/>
          <w:cols w:space="720"/>
          <w:docGrid w:linePitch="360"/>
        </w:sectPr>
      </w:pPr>
    </w:p>
    <w:p w:rsidR="006B4198" w:rsidRPr="006B4198" w:rsidRDefault="006B4198" w:rsidP="006B4198">
      <w:pPr>
        <w:pBdr>
          <w:bottom w:val="single" w:sz="12" w:space="1" w:color="auto"/>
        </w:pBdr>
        <w:jc w:val="center"/>
        <w:rPr>
          <w:rFonts w:cs="Arial"/>
          <w:b/>
          <w:sz w:val="28"/>
          <w:szCs w:val="28"/>
        </w:rPr>
      </w:pPr>
      <w:r w:rsidRPr="006B4198">
        <w:rPr>
          <w:rFonts w:cs="Arial"/>
          <w:b/>
          <w:sz w:val="28"/>
          <w:szCs w:val="28"/>
        </w:rPr>
        <w:lastRenderedPageBreak/>
        <w:t>PUBLIC CONSULTATION FEEDBACK FORM</w:t>
      </w:r>
    </w:p>
    <w:p w:rsidR="006B4198" w:rsidRPr="006B4198" w:rsidRDefault="006B4198" w:rsidP="006B4198"/>
    <w:p w:rsidR="00341C5E" w:rsidRDefault="00AD7FA8" w:rsidP="00341C5E">
      <w:pPr>
        <w:jc w:val="center"/>
        <w:rPr>
          <w:rFonts w:eastAsia="Calibri" w:cs="Arial"/>
          <w:b/>
          <w:sz w:val="22"/>
          <w:szCs w:val="22"/>
          <w:lang w:eastAsia="en-US"/>
        </w:rPr>
      </w:pPr>
      <w:r w:rsidRPr="00475345">
        <w:rPr>
          <w:rFonts w:eastAsia="Calibri" w:cs="Arial"/>
          <w:b/>
          <w:sz w:val="22"/>
          <w:szCs w:val="22"/>
          <w:lang w:eastAsia="en-US"/>
        </w:rPr>
        <w:t>Towing and Vehicle Storage</w:t>
      </w:r>
      <w:r w:rsidR="00341C5E">
        <w:rPr>
          <w:rFonts w:eastAsia="Calibri" w:cs="Arial"/>
          <w:b/>
          <w:sz w:val="22"/>
          <w:szCs w:val="22"/>
          <w:lang w:eastAsia="en-US"/>
        </w:rPr>
        <w:t xml:space="preserve">: </w:t>
      </w:r>
      <w:r w:rsidR="00341C5E" w:rsidRPr="00341C5E">
        <w:rPr>
          <w:rFonts w:eastAsia="Calibri" w:cs="Arial"/>
          <w:b/>
          <w:sz w:val="22"/>
          <w:szCs w:val="22"/>
          <w:lang w:eastAsia="en-US"/>
        </w:rPr>
        <w:t xml:space="preserve">Proposed regulations under the </w:t>
      </w:r>
    </w:p>
    <w:p w:rsidR="006B4198" w:rsidRPr="00475345" w:rsidRDefault="00341C5E" w:rsidP="00341C5E">
      <w:pPr>
        <w:jc w:val="center"/>
        <w:rPr>
          <w:rFonts w:eastAsia="Calibri" w:cs="Arial"/>
          <w:b/>
          <w:sz w:val="22"/>
          <w:szCs w:val="22"/>
          <w:lang w:eastAsia="en-US"/>
        </w:rPr>
      </w:pPr>
      <w:r w:rsidRPr="00341C5E">
        <w:rPr>
          <w:rFonts w:eastAsia="Calibri" w:cs="Arial"/>
          <w:b/>
          <w:sz w:val="22"/>
          <w:szCs w:val="22"/>
          <w:lang w:eastAsia="en-US"/>
        </w:rPr>
        <w:t>Consumer Protection Act and the Repair and Storage Liens Act</w:t>
      </w:r>
      <w:r>
        <w:rPr>
          <w:rFonts w:eastAsia="Calibri" w:cs="Arial"/>
          <w:b/>
          <w:sz w:val="22"/>
          <w:szCs w:val="22"/>
          <w:lang w:eastAsia="en-US"/>
        </w:rPr>
        <w:t xml:space="preserve"> </w:t>
      </w:r>
    </w:p>
    <w:p w:rsidR="00475345" w:rsidRPr="006B4198" w:rsidRDefault="00475345" w:rsidP="006B4198">
      <w:pPr>
        <w:jc w:val="center"/>
        <w:rPr>
          <w:rFonts w:ascii="Calibri" w:eastAsia="Calibri" w:hAnsi="Calibri"/>
          <w:b/>
          <w:sz w:val="22"/>
          <w:szCs w:val="22"/>
          <w:lang w:eastAsia="en-US"/>
        </w:rPr>
      </w:pPr>
    </w:p>
    <w:p w:rsidR="00341C5E" w:rsidRDefault="006B4198" w:rsidP="006B4198">
      <w:pPr>
        <w:spacing w:after="120"/>
        <w:rPr>
          <w:rFonts w:eastAsia="Calibri" w:cs="Arial"/>
          <w:sz w:val="22"/>
          <w:szCs w:val="22"/>
          <w:lang w:eastAsia="en-US"/>
        </w:rPr>
      </w:pPr>
      <w:r w:rsidRPr="00475345">
        <w:rPr>
          <w:rFonts w:eastAsia="Calibri" w:cs="Arial"/>
          <w:sz w:val="22"/>
          <w:szCs w:val="22"/>
          <w:lang w:eastAsia="en-US"/>
        </w:rPr>
        <w:t>The Ministr</w:t>
      </w:r>
      <w:r w:rsidR="00341C5E">
        <w:rPr>
          <w:rFonts w:eastAsia="Calibri" w:cs="Arial"/>
          <w:sz w:val="22"/>
          <w:szCs w:val="22"/>
          <w:lang w:eastAsia="en-US"/>
        </w:rPr>
        <w:t>y</w:t>
      </w:r>
      <w:r w:rsidRPr="00475345">
        <w:rPr>
          <w:rFonts w:eastAsia="Calibri" w:cs="Arial"/>
          <w:sz w:val="22"/>
          <w:szCs w:val="22"/>
          <w:lang w:eastAsia="en-US"/>
        </w:rPr>
        <w:t xml:space="preserve"> of Government and Consumer Services would like your feedback </w:t>
      </w:r>
      <w:r w:rsidR="00341C5E" w:rsidRPr="00341C5E">
        <w:rPr>
          <w:rFonts w:eastAsia="Calibri" w:cs="Arial"/>
          <w:sz w:val="22"/>
          <w:szCs w:val="22"/>
          <w:lang w:eastAsia="en-US"/>
        </w:rPr>
        <w:t xml:space="preserve">on the proposed regulatory changes to Ontario Regulation 17/05 (General) under the </w:t>
      </w:r>
      <w:r w:rsidR="00341C5E" w:rsidRPr="00F4132A">
        <w:rPr>
          <w:rFonts w:eastAsia="Calibri" w:cs="Arial"/>
          <w:i/>
          <w:sz w:val="22"/>
          <w:szCs w:val="22"/>
          <w:lang w:eastAsia="en-US"/>
        </w:rPr>
        <w:t>Consumer Protection Act</w:t>
      </w:r>
      <w:r w:rsidR="00F4132A" w:rsidRPr="00F4132A">
        <w:rPr>
          <w:rFonts w:eastAsia="Calibri" w:cs="Arial"/>
          <w:i/>
          <w:sz w:val="22"/>
          <w:szCs w:val="22"/>
          <w:lang w:eastAsia="en-US"/>
        </w:rPr>
        <w:t>, 2002</w:t>
      </w:r>
      <w:r w:rsidR="00341C5E" w:rsidRPr="00341C5E">
        <w:rPr>
          <w:rFonts w:eastAsia="Calibri" w:cs="Arial"/>
          <w:sz w:val="22"/>
          <w:szCs w:val="22"/>
          <w:lang w:eastAsia="en-US"/>
        </w:rPr>
        <w:t xml:space="preserve"> </w:t>
      </w:r>
      <w:r w:rsidR="00BE600F">
        <w:rPr>
          <w:rFonts w:eastAsia="Calibri" w:cs="Arial"/>
          <w:sz w:val="22"/>
          <w:szCs w:val="22"/>
          <w:lang w:eastAsia="en-US"/>
        </w:rPr>
        <w:t xml:space="preserve">(CPA) </w:t>
      </w:r>
      <w:r w:rsidR="00341C5E" w:rsidRPr="00341C5E">
        <w:rPr>
          <w:rFonts w:eastAsia="Calibri" w:cs="Arial"/>
          <w:sz w:val="22"/>
          <w:szCs w:val="22"/>
          <w:lang w:eastAsia="en-US"/>
        </w:rPr>
        <w:t xml:space="preserve">and proposed regulations under the </w:t>
      </w:r>
      <w:r w:rsidR="00341C5E" w:rsidRPr="00F4132A">
        <w:rPr>
          <w:rFonts w:eastAsia="Calibri" w:cs="Arial"/>
          <w:i/>
          <w:sz w:val="22"/>
          <w:szCs w:val="22"/>
          <w:lang w:eastAsia="en-US"/>
        </w:rPr>
        <w:t>Repair and Storage Liens Act</w:t>
      </w:r>
      <w:r w:rsidR="00341C5E" w:rsidRPr="00341C5E">
        <w:rPr>
          <w:rFonts w:eastAsia="Calibri" w:cs="Arial"/>
          <w:sz w:val="22"/>
          <w:szCs w:val="22"/>
          <w:lang w:eastAsia="en-US"/>
        </w:rPr>
        <w:t>. These changes are intended to establish tow and storage specific consumer protection measures and address storage notification and related issues.</w:t>
      </w:r>
    </w:p>
    <w:p w:rsidR="006B4198" w:rsidRPr="00475345" w:rsidRDefault="006B4198" w:rsidP="006B4198">
      <w:pPr>
        <w:spacing w:after="120"/>
        <w:rPr>
          <w:rFonts w:eastAsia="Calibri" w:cs="Arial"/>
          <w:sz w:val="22"/>
          <w:szCs w:val="22"/>
          <w:lang w:eastAsia="en-US"/>
        </w:rPr>
      </w:pPr>
      <w:r w:rsidRPr="00475345">
        <w:rPr>
          <w:rFonts w:eastAsia="Calibri" w:cs="Arial"/>
          <w:sz w:val="22"/>
          <w:szCs w:val="22"/>
          <w:lang w:eastAsia="en-US"/>
        </w:rPr>
        <w:t>Please submit your general comments</w:t>
      </w:r>
      <w:r w:rsidR="00612B97">
        <w:rPr>
          <w:rFonts w:eastAsia="Calibri" w:cs="Arial"/>
          <w:sz w:val="22"/>
          <w:szCs w:val="22"/>
          <w:lang w:eastAsia="en-US"/>
        </w:rPr>
        <w:t xml:space="preserve"> and/or input on proposed </w:t>
      </w:r>
      <w:r w:rsidR="00341C5E">
        <w:rPr>
          <w:rFonts w:eastAsia="Calibri" w:cs="Arial"/>
          <w:sz w:val="22"/>
          <w:szCs w:val="22"/>
          <w:lang w:eastAsia="en-US"/>
        </w:rPr>
        <w:t xml:space="preserve">regulations </w:t>
      </w:r>
      <w:r w:rsidRPr="00475345">
        <w:rPr>
          <w:rFonts w:eastAsia="Calibri" w:cs="Arial"/>
          <w:sz w:val="22"/>
          <w:szCs w:val="22"/>
          <w:lang w:eastAsia="en-US"/>
        </w:rPr>
        <w:t xml:space="preserve">posted on the Regulatory Registry at </w:t>
      </w:r>
      <w:hyperlink r:id="rId17" w:history="1">
        <w:r w:rsidRPr="00475345">
          <w:rPr>
            <w:rFonts w:eastAsia="Calibri" w:cs="Arial"/>
            <w:color w:val="0000FF"/>
            <w:sz w:val="22"/>
            <w:szCs w:val="22"/>
            <w:u w:val="single"/>
            <w:lang w:eastAsia="en-US"/>
          </w:rPr>
          <w:t>http://www.ontariocanada.com/registry/</w:t>
        </w:r>
      </w:hyperlink>
      <w:r w:rsidRPr="00475345">
        <w:rPr>
          <w:rFonts w:eastAsia="Calibri" w:cs="Arial"/>
          <w:sz w:val="22"/>
          <w:szCs w:val="22"/>
          <w:lang w:eastAsia="en-US"/>
        </w:rPr>
        <w:t>.</w:t>
      </w:r>
    </w:p>
    <w:p w:rsidR="00612B97" w:rsidRDefault="006B4198" w:rsidP="006B4198">
      <w:pPr>
        <w:spacing w:after="120"/>
        <w:rPr>
          <w:rFonts w:eastAsia="Calibri" w:cs="Arial"/>
          <w:sz w:val="22"/>
          <w:szCs w:val="22"/>
          <w:lang w:eastAsia="en-US"/>
        </w:rPr>
      </w:pPr>
      <w:r w:rsidRPr="00475345">
        <w:rPr>
          <w:rFonts w:eastAsia="Calibri" w:cs="Arial"/>
          <w:sz w:val="22"/>
          <w:szCs w:val="22"/>
          <w:lang w:val="en-US" w:eastAsia="en-US"/>
        </w:rPr>
        <w:t xml:space="preserve">You may also use this form to </w:t>
      </w:r>
      <w:r w:rsidR="00612B97">
        <w:rPr>
          <w:rFonts w:eastAsia="Calibri" w:cs="Arial"/>
          <w:sz w:val="22"/>
          <w:szCs w:val="22"/>
          <w:lang w:val="en-US" w:eastAsia="en-US"/>
        </w:rPr>
        <w:t xml:space="preserve">provide </w:t>
      </w:r>
      <w:r w:rsidRPr="00475345">
        <w:rPr>
          <w:rFonts w:eastAsia="Calibri" w:cs="Arial"/>
          <w:sz w:val="22"/>
          <w:szCs w:val="22"/>
          <w:lang w:eastAsia="en-US"/>
        </w:rPr>
        <w:t xml:space="preserve">your comments. Please save and email your completed form to the Ministry of Government and Consumer Services at </w:t>
      </w:r>
      <w:hyperlink r:id="rId18" w:history="1">
        <w:r w:rsidR="000F7D07" w:rsidRPr="00997F1B">
          <w:rPr>
            <w:rStyle w:val="Hyperlink"/>
            <w:rFonts w:eastAsia="Calibri" w:cs="Arial"/>
            <w:sz w:val="22"/>
            <w:szCs w:val="22"/>
            <w:lang w:eastAsia="en-US"/>
          </w:rPr>
          <w:t>towingandstorage@ontario.ca</w:t>
        </w:r>
      </w:hyperlink>
      <w:r w:rsidRPr="00475345">
        <w:rPr>
          <w:rFonts w:eastAsia="Calibri" w:cs="Arial"/>
          <w:sz w:val="22"/>
          <w:szCs w:val="22"/>
          <w:lang w:eastAsia="en-US"/>
        </w:rPr>
        <w:t>.</w:t>
      </w:r>
      <w:r w:rsidR="00612B97">
        <w:rPr>
          <w:rFonts w:eastAsia="Calibri" w:cs="Arial"/>
          <w:sz w:val="22"/>
          <w:szCs w:val="22"/>
          <w:lang w:eastAsia="en-US"/>
        </w:rPr>
        <w:t xml:space="preserve"> Please include </w:t>
      </w:r>
      <w:r w:rsidR="00612B97" w:rsidRPr="00612B97">
        <w:rPr>
          <w:rFonts w:eastAsia="Calibri" w:cs="Arial"/>
          <w:sz w:val="22"/>
          <w:szCs w:val="22"/>
          <w:lang w:eastAsia="en-US"/>
        </w:rPr>
        <w:t xml:space="preserve">“Towing and Vehicle Storage </w:t>
      </w:r>
      <w:r w:rsidR="00612B97">
        <w:rPr>
          <w:rFonts w:eastAsia="Calibri" w:cs="Arial"/>
          <w:sz w:val="22"/>
          <w:szCs w:val="22"/>
          <w:lang w:eastAsia="en-US"/>
        </w:rPr>
        <w:t xml:space="preserve">Proposed </w:t>
      </w:r>
      <w:r w:rsidR="00612B97" w:rsidRPr="00612B97">
        <w:rPr>
          <w:rFonts w:eastAsia="Calibri" w:cs="Arial"/>
          <w:sz w:val="22"/>
          <w:szCs w:val="22"/>
          <w:lang w:eastAsia="en-US"/>
        </w:rPr>
        <w:t>Regulations” in the subject line</w:t>
      </w:r>
      <w:r w:rsidR="00612B97">
        <w:rPr>
          <w:rFonts w:eastAsia="Calibri" w:cs="Arial"/>
          <w:sz w:val="22"/>
          <w:szCs w:val="22"/>
          <w:lang w:eastAsia="en-US"/>
        </w:rPr>
        <w:t>.</w:t>
      </w:r>
    </w:p>
    <w:p w:rsidR="00612B97" w:rsidRDefault="006B4198" w:rsidP="006B4198">
      <w:pPr>
        <w:spacing w:after="120"/>
        <w:rPr>
          <w:rFonts w:eastAsia="Calibri" w:cs="Arial"/>
          <w:sz w:val="22"/>
          <w:szCs w:val="22"/>
          <w:lang w:eastAsia="en-US"/>
        </w:rPr>
      </w:pPr>
      <w:r w:rsidRPr="00475345">
        <w:rPr>
          <w:rFonts w:eastAsia="Calibri" w:cs="Arial"/>
          <w:sz w:val="22"/>
          <w:szCs w:val="22"/>
          <w:lang w:eastAsia="en-US"/>
        </w:rPr>
        <w:t xml:space="preserve">The closing date for </w:t>
      </w:r>
      <w:r w:rsidR="00612B97">
        <w:rPr>
          <w:rFonts w:eastAsia="Calibri" w:cs="Arial"/>
          <w:sz w:val="22"/>
          <w:szCs w:val="22"/>
          <w:lang w:eastAsia="en-US"/>
        </w:rPr>
        <w:t xml:space="preserve">providing </w:t>
      </w:r>
      <w:r w:rsidRPr="00475345">
        <w:rPr>
          <w:rFonts w:eastAsia="Calibri" w:cs="Arial"/>
          <w:sz w:val="22"/>
          <w:szCs w:val="22"/>
          <w:lang w:eastAsia="en-US"/>
        </w:rPr>
        <w:t>feedback</w:t>
      </w:r>
      <w:r w:rsidR="0031354F" w:rsidRPr="00475345">
        <w:rPr>
          <w:rFonts w:eastAsia="Calibri" w:cs="Arial"/>
          <w:sz w:val="22"/>
          <w:szCs w:val="22"/>
          <w:lang w:eastAsia="en-US"/>
        </w:rPr>
        <w:t xml:space="preserve"> </w:t>
      </w:r>
      <w:r w:rsidRPr="00475345">
        <w:rPr>
          <w:rFonts w:eastAsia="Calibri" w:cs="Arial"/>
          <w:sz w:val="22"/>
          <w:szCs w:val="22"/>
          <w:lang w:eastAsia="en-US"/>
        </w:rPr>
        <w:t xml:space="preserve">is </w:t>
      </w:r>
      <w:r w:rsidR="00A32E67" w:rsidRPr="00A809F4">
        <w:rPr>
          <w:rFonts w:eastAsia="Calibri" w:cs="Arial"/>
          <w:sz w:val="22"/>
          <w:szCs w:val="22"/>
          <w:lang w:eastAsia="en-US"/>
        </w:rPr>
        <w:t xml:space="preserve">October </w:t>
      </w:r>
      <w:r w:rsidR="00DA39B5">
        <w:rPr>
          <w:rFonts w:eastAsia="Calibri" w:cs="Arial"/>
          <w:sz w:val="22"/>
          <w:szCs w:val="22"/>
          <w:lang w:eastAsia="en-US"/>
        </w:rPr>
        <w:t>30</w:t>
      </w:r>
      <w:r w:rsidR="00A32E67" w:rsidRPr="00A809F4">
        <w:rPr>
          <w:rFonts w:eastAsia="Calibri" w:cs="Arial"/>
          <w:sz w:val="22"/>
          <w:szCs w:val="22"/>
          <w:lang w:eastAsia="en-US"/>
        </w:rPr>
        <w:t>, 2015</w:t>
      </w:r>
      <w:r w:rsidRPr="00A809F4">
        <w:rPr>
          <w:rFonts w:eastAsia="Calibri" w:cs="Arial"/>
          <w:sz w:val="22"/>
          <w:szCs w:val="22"/>
          <w:lang w:eastAsia="en-US"/>
        </w:rPr>
        <w:t>.</w:t>
      </w:r>
    </w:p>
    <w:p w:rsidR="003D30B8" w:rsidRPr="00475345" w:rsidRDefault="003D30B8" w:rsidP="006B4198">
      <w:pPr>
        <w:spacing w:after="120"/>
        <w:rPr>
          <w:rFonts w:eastAsia="Calibri"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80"/>
        <w:gridCol w:w="4500"/>
        <w:gridCol w:w="270"/>
      </w:tblGrid>
      <w:tr w:rsidR="00612B97" w:rsidRPr="006B4198" w:rsidTr="00612B97">
        <w:tc>
          <w:tcPr>
            <w:tcW w:w="9558" w:type="dxa"/>
            <w:gridSpan w:val="4"/>
            <w:shd w:val="clear" w:color="auto" w:fill="auto"/>
          </w:tcPr>
          <w:p w:rsidR="00612B97" w:rsidRPr="00612B97" w:rsidRDefault="00612B97" w:rsidP="006B4198">
            <w:pPr>
              <w:rPr>
                <w:rFonts w:eastAsia="Calibri" w:cs="Arial"/>
                <w:b/>
                <w:sz w:val="22"/>
                <w:szCs w:val="22"/>
                <w:lang w:eastAsia="en-US"/>
              </w:rPr>
            </w:pPr>
            <w:r w:rsidRPr="00612B97">
              <w:rPr>
                <w:rFonts w:eastAsia="Calibri" w:cs="Arial"/>
                <w:b/>
                <w:sz w:val="22"/>
                <w:szCs w:val="22"/>
                <w:lang w:eastAsia="en-US"/>
              </w:rPr>
              <w:t>Contact Information</w:t>
            </w:r>
          </w:p>
          <w:p w:rsidR="00612B97" w:rsidRDefault="00612B97" w:rsidP="006B4198">
            <w:pPr>
              <w:rPr>
                <w:rFonts w:eastAsia="Calibri" w:cs="Arial"/>
                <w:sz w:val="22"/>
                <w:szCs w:val="22"/>
                <w:lang w:eastAsia="en-US"/>
              </w:rPr>
            </w:pPr>
            <w:r w:rsidRPr="00475345">
              <w:rPr>
                <w:rFonts w:eastAsia="Calibri" w:cs="Arial"/>
                <w:sz w:val="22"/>
                <w:szCs w:val="22"/>
                <w:lang w:eastAsia="en-US"/>
              </w:rPr>
              <w:t xml:space="preserve">Please provide your name, title and the full name and address of your organization </w:t>
            </w:r>
            <w:r>
              <w:rPr>
                <w:rFonts w:eastAsia="Calibri" w:cs="Arial"/>
                <w:sz w:val="22"/>
                <w:szCs w:val="22"/>
                <w:lang w:eastAsia="en-US"/>
              </w:rPr>
              <w:t>(</w:t>
            </w:r>
            <w:r w:rsidRPr="00475345">
              <w:rPr>
                <w:rFonts w:eastAsia="Calibri" w:cs="Arial"/>
                <w:sz w:val="22"/>
                <w:szCs w:val="22"/>
                <w:lang w:eastAsia="en-US"/>
              </w:rPr>
              <w:t>if you are submitting comments on behalf of an organization</w:t>
            </w:r>
            <w:r>
              <w:rPr>
                <w:rFonts w:eastAsia="Calibri" w:cs="Arial"/>
                <w:sz w:val="22"/>
                <w:szCs w:val="22"/>
                <w:lang w:eastAsia="en-US"/>
              </w:rPr>
              <w:t>).</w:t>
            </w:r>
          </w:p>
          <w:p w:rsidR="005E0760" w:rsidRDefault="005E0760" w:rsidP="006B4198">
            <w:pPr>
              <w:rPr>
                <w:rFonts w:eastAsia="Calibri" w:cs="Arial"/>
                <w:i/>
                <w:color w:val="7F7F7F"/>
                <w:sz w:val="22"/>
                <w:szCs w:val="22"/>
                <w:lang w:eastAsia="en-US"/>
              </w:rPr>
            </w:pPr>
          </w:p>
          <w:p w:rsidR="00612B97" w:rsidRPr="005E0760" w:rsidRDefault="00612B97" w:rsidP="006B4198">
            <w:pPr>
              <w:rPr>
                <w:rFonts w:eastAsia="Calibri" w:cs="Arial"/>
                <w:i/>
                <w:color w:val="7F7F7F"/>
                <w:sz w:val="20"/>
                <w:szCs w:val="22"/>
                <w:lang w:eastAsia="en-US"/>
              </w:rPr>
            </w:pPr>
            <w:r w:rsidRPr="005E0760">
              <w:rPr>
                <w:rFonts w:eastAsia="Calibri" w:cs="Arial"/>
                <w:i/>
                <w:color w:val="7F7F7F"/>
                <w:sz w:val="20"/>
                <w:szCs w:val="22"/>
                <w:lang w:eastAsia="en-US"/>
              </w:rPr>
              <w:t>(insert contact information)</w:t>
            </w:r>
          </w:p>
          <w:p w:rsidR="005E0760" w:rsidRDefault="005E0760" w:rsidP="005E0760">
            <w:pPr>
              <w:rPr>
                <w:rFonts w:ascii="Calibri" w:eastAsia="Calibri" w:hAnsi="Calibri"/>
                <w:sz w:val="22"/>
                <w:szCs w:val="22"/>
                <w:lang w:eastAsia="en-US"/>
              </w:rPr>
            </w:pPr>
          </w:p>
          <w:p w:rsidR="003D30B8" w:rsidRDefault="003D30B8" w:rsidP="005E0760">
            <w:pPr>
              <w:rPr>
                <w:rFonts w:ascii="Calibri" w:eastAsia="Calibri" w:hAnsi="Calibri"/>
                <w:sz w:val="22"/>
                <w:szCs w:val="22"/>
                <w:lang w:eastAsia="en-US"/>
              </w:rPr>
            </w:pPr>
          </w:p>
          <w:p w:rsidR="00DD59D7" w:rsidRDefault="00DD59D7" w:rsidP="005E0760">
            <w:pPr>
              <w:rPr>
                <w:rFonts w:ascii="Calibri" w:eastAsia="Calibri" w:hAnsi="Calibri"/>
                <w:sz w:val="22"/>
                <w:szCs w:val="22"/>
                <w:lang w:eastAsia="en-US"/>
              </w:rPr>
            </w:pPr>
          </w:p>
          <w:p w:rsidR="003D30B8" w:rsidRPr="006B4198" w:rsidRDefault="003D30B8" w:rsidP="005E0760">
            <w:pPr>
              <w:rPr>
                <w:rFonts w:ascii="Calibri" w:eastAsia="Calibri" w:hAnsi="Calibri"/>
                <w:sz w:val="22"/>
                <w:szCs w:val="22"/>
                <w:lang w:eastAsia="en-US"/>
              </w:rPr>
            </w:pPr>
          </w:p>
        </w:tc>
      </w:tr>
      <w:tr w:rsidR="006B4198" w:rsidRPr="006B4198" w:rsidTr="00F243A8">
        <w:tc>
          <w:tcPr>
            <w:tcW w:w="4788" w:type="dxa"/>
            <w:gridSpan w:val="2"/>
            <w:tcBorders>
              <w:right w:val="nil"/>
            </w:tcBorders>
            <w:shd w:val="clear" w:color="auto" w:fill="auto"/>
          </w:tcPr>
          <w:p w:rsidR="006B4198" w:rsidRPr="005E0760" w:rsidRDefault="006B4198" w:rsidP="006B4198">
            <w:pPr>
              <w:rPr>
                <w:rFonts w:eastAsia="Calibri" w:cs="Arial"/>
                <w:b/>
                <w:sz w:val="22"/>
                <w:szCs w:val="22"/>
                <w:lang w:eastAsia="en-US"/>
              </w:rPr>
            </w:pPr>
            <w:r w:rsidRPr="005E0760">
              <w:rPr>
                <w:rFonts w:eastAsia="Calibri" w:cs="Arial"/>
                <w:b/>
                <w:sz w:val="22"/>
                <w:szCs w:val="22"/>
                <w:lang w:eastAsia="en-US"/>
              </w:rPr>
              <w:t>About You or Your Organization</w:t>
            </w:r>
          </w:p>
          <w:p w:rsidR="006B4198" w:rsidRPr="005E0760" w:rsidRDefault="006B4198" w:rsidP="006B4198">
            <w:pPr>
              <w:rPr>
                <w:rFonts w:eastAsia="Calibri" w:cs="Arial"/>
                <w:i/>
                <w:color w:val="7F7F7F"/>
                <w:sz w:val="20"/>
                <w:szCs w:val="22"/>
                <w:lang w:eastAsia="en-US"/>
              </w:rPr>
            </w:pPr>
            <w:r w:rsidRPr="005E0760">
              <w:rPr>
                <w:rFonts w:eastAsia="Calibri" w:cs="Arial"/>
                <w:i/>
                <w:color w:val="7F7F7F"/>
                <w:sz w:val="20"/>
                <w:szCs w:val="22"/>
                <w:lang w:eastAsia="en-US"/>
              </w:rPr>
              <w:t>(please check the appropriate box</w:t>
            </w:r>
            <w:r w:rsidR="00637FF7" w:rsidRPr="005E0760">
              <w:rPr>
                <w:rFonts w:eastAsia="Calibri" w:cs="Arial"/>
                <w:i/>
                <w:color w:val="7F7F7F"/>
                <w:sz w:val="20"/>
                <w:szCs w:val="22"/>
                <w:lang w:eastAsia="en-US"/>
              </w:rPr>
              <w:t>/boxes</w:t>
            </w:r>
            <w:r w:rsidRPr="005E0760">
              <w:rPr>
                <w:rFonts w:eastAsia="Calibri" w:cs="Arial"/>
                <w:i/>
                <w:color w:val="7F7F7F"/>
                <w:sz w:val="20"/>
                <w:szCs w:val="22"/>
                <w:lang w:eastAsia="en-US"/>
              </w:rPr>
              <w:t>)</w:t>
            </w:r>
          </w:p>
          <w:p w:rsidR="006B4198" w:rsidRPr="00475345" w:rsidRDefault="006B4198" w:rsidP="006B4198">
            <w:pPr>
              <w:rPr>
                <w:rFonts w:eastAsia="Calibri" w:cs="Arial"/>
                <w:i/>
                <w:sz w:val="20"/>
                <w:szCs w:val="20"/>
                <w:lang w:eastAsia="en-US"/>
              </w:rPr>
            </w:pPr>
          </w:p>
          <w:p w:rsidR="006B4198" w:rsidRPr="00475345" w:rsidRDefault="006B4198" w:rsidP="00F243A8">
            <w:pPr>
              <w:tabs>
                <w:tab w:val="left" w:pos="450"/>
              </w:tabs>
              <w:rPr>
                <w:rFonts w:eastAsia="Calibri" w:cs="Arial"/>
                <w:sz w:val="22"/>
                <w:szCs w:val="22"/>
                <w:lang w:eastAsia="en-US"/>
              </w:rPr>
            </w:pPr>
            <w:r w:rsidRPr="00475345">
              <w:rPr>
                <w:rFonts w:ascii="MS Gothic" w:eastAsia="MS Gothic" w:hAnsi="MS Gothic" w:cs="MS Gothic" w:hint="eastAsia"/>
                <w:lang w:eastAsia="en-US"/>
              </w:rPr>
              <w:t>☐</w:t>
            </w:r>
            <w:r w:rsidRPr="00475345">
              <w:rPr>
                <w:rFonts w:eastAsia="Calibri" w:cs="Arial"/>
                <w:sz w:val="22"/>
                <w:szCs w:val="22"/>
                <w:lang w:eastAsia="en-US"/>
              </w:rPr>
              <w:tab/>
            </w:r>
            <w:r w:rsidR="00637FF7" w:rsidRPr="00475345">
              <w:rPr>
                <w:rFonts w:eastAsia="Calibri" w:cs="Arial"/>
                <w:sz w:val="22"/>
                <w:szCs w:val="22"/>
                <w:lang w:eastAsia="en-US"/>
              </w:rPr>
              <w:t>Tow</w:t>
            </w:r>
            <w:r w:rsidR="00164948" w:rsidRPr="00475345">
              <w:rPr>
                <w:rFonts w:eastAsia="Calibri" w:cs="Arial"/>
                <w:sz w:val="22"/>
                <w:szCs w:val="22"/>
                <w:lang w:eastAsia="en-US"/>
              </w:rPr>
              <w:t xml:space="preserve"> truck </w:t>
            </w:r>
            <w:r w:rsidR="005E0760">
              <w:rPr>
                <w:rFonts w:eastAsia="Calibri" w:cs="Arial"/>
                <w:sz w:val="22"/>
                <w:szCs w:val="22"/>
                <w:lang w:eastAsia="en-US"/>
              </w:rPr>
              <w:t xml:space="preserve">driver, </w:t>
            </w:r>
            <w:r w:rsidR="00164948" w:rsidRPr="00475345">
              <w:rPr>
                <w:rFonts w:eastAsia="Calibri" w:cs="Arial"/>
                <w:sz w:val="22"/>
                <w:szCs w:val="22"/>
                <w:lang w:eastAsia="en-US"/>
              </w:rPr>
              <w:t>operator</w:t>
            </w:r>
            <w:r w:rsidR="005E0760">
              <w:rPr>
                <w:rFonts w:eastAsia="Calibri" w:cs="Arial"/>
                <w:sz w:val="22"/>
                <w:szCs w:val="22"/>
                <w:lang w:eastAsia="en-US"/>
              </w:rPr>
              <w:t xml:space="preserve">/owner or broker </w:t>
            </w:r>
            <w:r w:rsidRPr="00475345">
              <w:rPr>
                <w:rFonts w:eastAsia="Calibri" w:cs="Arial"/>
                <w:sz w:val="22"/>
                <w:szCs w:val="22"/>
                <w:lang w:eastAsia="en-US"/>
              </w:rPr>
              <w:t xml:space="preserve"> </w:t>
            </w:r>
          </w:p>
          <w:p w:rsidR="006B4198" w:rsidRDefault="006B4198" w:rsidP="00F243A8">
            <w:pPr>
              <w:tabs>
                <w:tab w:val="left" w:pos="450"/>
                <w:tab w:val="left" w:pos="616"/>
              </w:tabs>
              <w:rPr>
                <w:rFonts w:eastAsia="Calibri" w:cs="Arial"/>
                <w:sz w:val="22"/>
                <w:szCs w:val="22"/>
                <w:lang w:eastAsia="en-US"/>
              </w:rPr>
            </w:pPr>
            <w:r w:rsidRPr="00475345">
              <w:rPr>
                <w:rFonts w:ascii="MS Gothic" w:eastAsia="MS Gothic" w:hAnsi="MS Gothic" w:cs="MS Gothic" w:hint="eastAsia"/>
                <w:lang w:eastAsia="en-US"/>
              </w:rPr>
              <w:t>☐</w:t>
            </w:r>
            <w:r w:rsidRPr="00475345">
              <w:rPr>
                <w:rFonts w:eastAsia="Calibri" w:cs="Arial"/>
                <w:sz w:val="22"/>
                <w:szCs w:val="22"/>
                <w:lang w:eastAsia="en-US"/>
              </w:rPr>
              <w:tab/>
            </w:r>
            <w:r w:rsidR="005E0760" w:rsidRPr="00475345">
              <w:rPr>
                <w:rFonts w:eastAsia="Calibri" w:cs="Arial"/>
                <w:sz w:val="22"/>
                <w:szCs w:val="22"/>
                <w:lang w:eastAsia="en-US"/>
              </w:rPr>
              <w:t>Vehicle stor</w:t>
            </w:r>
            <w:r w:rsidR="00F243A8">
              <w:rPr>
                <w:rFonts w:eastAsia="Calibri" w:cs="Arial"/>
                <w:sz w:val="22"/>
                <w:szCs w:val="22"/>
                <w:lang w:eastAsia="en-US"/>
              </w:rPr>
              <w:t>age owner/</w:t>
            </w:r>
            <w:r w:rsidR="005E0760">
              <w:rPr>
                <w:rFonts w:eastAsia="Calibri" w:cs="Arial"/>
                <w:sz w:val="22"/>
                <w:szCs w:val="22"/>
                <w:lang w:eastAsia="en-US"/>
              </w:rPr>
              <w:t>operator</w:t>
            </w:r>
            <w:r w:rsidRPr="00475345">
              <w:rPr>
                <w:rFonts w:eastAsia="Calibri" w:cs="Arial"/>
                <w:sz w:val="22"/>
                <w:szCs w:val="22"/>
                <w:lang w:eastAsia="en-US"/>
              </w:rPr>
              <w:t xml:space="preserve"> </w:t>
            </w:r>
          </w:p>
          <w:p w:rsidR="00013927" w:rsidRDefault="00013927" w:rsidP="00F243A8">
            <w:pPr>
              <w:tabs>
                <w:tab w:val="left" w:pos="450"/>
                <w:tab w:val="left" w:pos="616"/>
              </w:tabs>
              <w:rPr>
                <w:rFonts w:eastAsia="Calibri" w:cs="Arial"/>
                <w:sz w:val="22"/>
                <w:szCs w:val="22"/>
                <w:lang w:eastAsia="en-US"/>
              </w:rPr>
            </w:pPr>
            <w:r w:rsidRPr="00475345">
              <w:rPr>
                <w:rFonts w:ascii="MS Gothic" w:eastAsia="MS Gothic" w:hAnsi="MS Gothic" w:cs="MS Gothic" w:hint="eastAsia"/>
                <w:lang w:eastAsia="en-US"/>
              </w:rPr>
              <w:t>☐</w:t>
            </w:r>
            <w:r w:rsidR="005E0760">
              <w:rPr>
                <w:rFonts w:eastAsia="Calibri" w:cs="Arial"/>
                <w:sz w:val="22"/>
                <w:szCs w:val="22"/>
                <w:lang w:eastAsia="en-US"/>
              </w:rPr>
              <w:tab/>
              <w:t>V</w:t>
            </w:r>
            <w:r w:rsidR="005E0760">
              <w:rPr>
                <w:rFonts w:cs="Arial"/>
                <w:color w:val="000000"/>
                <w:sz w:val="22"/>
                <w:szCs w:val="22"/>
              </w:rPr>
              <w:t>ehicle financing and leasing</w:t>
            </w:r>
          </w:p>
          <w:p w:rsidR="006B4198" w:rsidRPr="00475345" w:rsidRDefault="006B4198" w:rsidP="00F243A8">
            <w:pPr>
              <w:tabs>
                <w:tab w:val="left" w:pos="450"/>
                <w:tab w:val="left" w:pos="616"/>
              </w:tabs>
              <w:rPr>
                <w:rFonts w:eastAsia="Calibri" w:cs="Arial"/>
                <w:sz w:val="22"/>
                <w:szCs w:val="22"/>
                <w:lang w:eastAsia="en-US"/>
              </w:rPr>
            </w:pPr>
            <w:r w:rsidRPr="00475345">
              <w:rPr>
                <w:rFonts w:ascii="MS Gothic" w:eastAsia="MS Gothic" w:hAnsi="MS Gothic" w:cs="MS Gothic" w:hint="eastAsia"/>
                <w:lang w:eastAsia="en-US"/>
              </w:rPr>
              <w:t>☐</w:t>
            </w:r>
            <w:r w:rsidRPr="00475345">
              <w:rPr>
                <w:rFonts w:eastAsia="Calibri" w:cs="Arial"/>
                <w:sz w:val="22"/>
                <w:szCs w:val="22"/>
                <w:lang w:eastAsia="en-US"/>
              </w:rPr>
              <w:tab/>
            </w:r>
            <w:r w:rsidR="005E0760">
              <w:rPr>
                <w:rFonts w:eastAsia="Calibri" w:cs="Arial"/>
                <w:sz w:val="22"/>
                <w:szCs w:val="22"/>
                <w:lang w:eastAsia="en-US"/>
              </w:rPr>
              <w:t>I</w:t>
            </w:r>
            <w:r w:rsidR="005E0760">
              <w:rPr>
                <w:rFonts w:cs="Arial"/>
                <w:color w:val="000000"/>
                <w:sz w:val="22"/>
                <w:szCs w:val="22"/>
              </w:rPr>
              <w:t>nsurance</w:t>
            </w:r>
          </w:p>
          <w:p w:rsidR="006B4198" w:rsidRPr="00475345" w:rsidRDefault="006B4198" w:rsidP="006B4198">
            <w:pPr>
              <w:tabs>
                <w:tab w:val="left" w:pos="616"/>
              </w:tabs>
              <w:rPr>
                <w:rFonts w:eastAsia="Calibri" w:cs="Arial"/>
                <w:sz w:val="22"/>
                <w:szCs w:val="22"/>
                <w:lang w:eastAsia="en-US"/>
              </w:rPr>
            </w:pPr>
          </w:p>
        </w:tc>
        <w:tc>
          <w:tcPr>
            <w:tcW w:w="4500" w:type="dxa"/>
            <w:tcBorders>
              <w:left w:val="nil"/>
              <w:right w:val="nil"/>
            </w:tcBorders>
            <w:shd w:val="clear" w:color="auto" w:fill="auto"/>
          </w:tcPr>
          <w:p w:rsidR="006B4198" w:rsidRPr="00475345" w:rsidRDefault="006B4198" w:rsidP="006B4198">
            <w:pPr>
              <w:tabs>
                <w:tab w:val="left" w:pos="638"/>
              </w:tabs>
              <w:rPr>
                <w:rFonts w:eastAsia="Calibri" w:cs="Arial"/>
                <w:sz w:val="22"/>
                <w:szCs w:val="22"/>
                <w:lang w:eastAsia="en-US"/>
              </w:rPr>
            </w:pPr>
          </w:p>
          <w:p w:rsidR="006B4198" w:rsidRPr="00475345" w:rsidRDefault="006B4198" w:rsidP="006B4198">
            <w:pPr>
              <w:tabs>
                <w:tab w:val="left" w:pos="616"/>
              </w:tabs>
              <w:rPr>
                <w:rFonts w:eastAsia="Calibri" w:cs="Arial"/>
                <w:sz w:val="22"/>
                <w:szCs w:val="22"/>
                <w:lang w:eastAsia="en-US"/>
              </w:rPr>
            </w:pPr>
            <w:r w:rsidRPr="00475345">
              <w:rPr>
                <w:rFonts w:eastAsia="Calibri" w:cs="Arial"/>
                <w:sz w:val="22"/>
                <w:szCs w:val="22"/>
                <w:lang w:eastAsia="en-US"/>
              </w:rPr>
              <w:t xml:space="preserve">  </w:t>
            </w:r>
          </w:p>
          <w:p w:rsidR="006B4198" w:rsidRPr="00475345" w:rsidRDefault="006B4198" w:rsidP="006B4198">
            <w:pPr>
              <w:tabs>
                <w:tab w:val="left" w:pos="616"/>
              </w:tabs>
              <w:rPr>
                <w:rFonts w:eastAsia="Calibri" w:cs="Arial"/>
                <w:sz w:val="22"/>
                <w:szCs w:val="22"/>
                <w:lang w:eastAsia="en-US"/>
              </w:rPr>
            </w:pPr>
          </w:p>
          <w:p w:rsidR="00013927" w:rsidRDefault="00013927" w:rsidP="00F243A8">
            <w:pPr>
              <w:tabs>
                <w:tab w:val="left" w:pos="702"/>
              </w:tabs>
              <w:ind w:left="252"/>
              <w:rPr>
                <w:rFonts w:ascii="MS Gothic" w:eastAsia="MS Gothic" w:hAnsi="MS Gothic" w:cs="MS Gothic"/>
                <w:lang w:eastAsia="en-US"/>
              </w:rPr>
            </w:pPr>
            <w:r w:rsidRPr="00475345">
              <w:rPr>
                <w:rFonts w:ascii="MS Gothic" w:eastAsia="MS Gothic" w:hAnsi="MS Gothic" w:cs="MS Gothic" w:hint="eastAsia"/>
                <w:lang w:eastAsia="en-US"/>
              </w:rPr>
              <w:t>☐</w:t>
            </w:r>
            <w:r w:rsidR="00F243A8">
              <w:rPr>
                <w:rFonts w:ascii="MS Gothic" w:eastAsia="MS Gothic" w:hAnsi="MS Gothic" w:cs="MS Gothic"/>
                <w:lang w:eastAsia="en-US"/>
              </w:rPr>
              <w:t xml:space="preserve">  </w:t>
            </w:r>
            <w:r w:rsidR="00F243A8">
              <w:rPr>
                <w:rFonts w:eastAsia="Calibri" w:cs="Arial"/>
                <w:sz w:val="22"/>
                <w:szCs w:val="22"/>
                <w:lang w:eastAsia="en-US"/>
              </w:rPr>
              <w:t>Municipal</w:t>
            </w:r>
          </w:p>
          <w:p w:rsidR="006B4198" w:rsidRPr="00475345" w:rsidRDefault="006B4198" w:rsidP="00F243A8">
            <w:pPr>
              <w:tabs>
                <w:tab w:val="left" w:pos="702"/>
              </w:tabs>
              <w:ind w:left="252"/>
              <w:rPr>
                <w:rFonts w:eastAsia="Calibri" w:cs="Arial"/>
                <w:sz w:val="22"/>
                <w:szCs w:val="22"/>
                <w:lang w:eastAsia="en-US"/>
              </w:rPr>
            </w:pPr>
            <w:r w:rsidRPr="00475345">
              <w:rPr>
                <w:rFonts w:ascii="MS Gothic" w:eastAsia="MS Gothic" w:hAnsi="MS Gothic" w:cs="MS Gothic" w:hint="eastAsia"/>
                <w:lang w:eastAsia="en-US"/>
              </w:rPr>
              <w:t>☐</w:t>
            </w:r>
            <w:r w:rsidRPr="00475345">
              <w:rPr>
                <w:rFonts w:eastAsia="MS Gothic" w:cs="Arial"/>
                <w:lang w:eastAsia="en-US"/>
              </w:rPr>
              <w:t xml:space="preserve">   </w:t>
            </w:r>
            <w:r w:rsidR="00F243A8">
              <w:rPr>
                <w:rFonts w:eastAsia="MS Gothic" w:cs="Arial"/>
                <w:lang w:eastAsia="en-US"/>
              </w:rPr>
              <w:t xml:space="preserve"> </w:t>
            </w:r>
            <w:r w:rsidR="00F243A8" w:rsidRPr="00F243A8">
              <w:rPr>
                <w:rFonts w:eastAsia="Calibri" w:cs="Arial"/>
                <w:sz w:val="22"/>
                <w:szCs w:val="22"/>
                <w:lang w:eastAsia="en-US"/>
              </w:rPr>
              <w:t>Law Enforcement</w:t>
            </w:r>
            <w:r w:rsidRPr="00475345">
              <w:rPr>
                <w:rFonts w:eastAsia="Calibri" w:cs="Arial"/>
                <w:sz w:val="22"/>
                <w:szCs w:val="22"/>
                <w:lang w:eastAsia="en-US"/>
              </w:rPr>
              <w:t xml:space="preserve"> </w:t>
            </w:r>
          </w:p>
          <w:p w:rsidR="006B4198" w:rsidRPr="00475345" w:rsidRDefault="006B4198" w:rsidP="00F243A8">
            <w:pPr>
              <w:tabs>
                <w:tab w:val="left" w:pos="702"/>
              </w:tabs>
              <w:ind w:left="252"/>
              <w:rPr>
                <w:rFonts w:eastAsia="Calibri" w:cs="Arial"/>
                <w:sz w:val="22"/>
                <w:szCs w:val="22"/>
                <w:lang w:eastAsia="en-US"/>
              </w:rPr>
            </w:pPr>
            <w:r w:rsidRPr="00475345">
              <w:rPr>
                <w:rFonts w:ascii="MS Gothic" w:eastAsia="MS Gothic" w:hAnsi="MS Gothic" w:cs="MS Gothic" w:hint="eastAsia"/>
                <w:lang w:eastAsia="en-US"/>
              </w:rPr>
              <w:t>☐</w:t>
            </w:r>
            <w:r w:rsidRPr="00475345">
              <w:rPr>
                <w:rFonts w:eastAsia="MS Gothic" w:cs="Arial"/>
                <w:lang w:eastAsia="en-US"/>
              </w:rPr>
              <w:t xml:space="preserve">   </w:t>
            </w:r>
            <w:r w:rsidR="00F243A8">
              <w:rPr>
                <w:rFonts w:eastAsia="MS Gothic" w:cs="Arial"/>
                <w:lang w:eastAsia="en-US"/>
              </w:rPr>
              <w:t xml:space="preserve"> </w:t>
            </w:r>
            <w:r w:rsidRPr="00475345">
              <w:rPr>
                <w:rFonts w:eastAsia="Calibri" w:cs="Arial"/>
                <w:sz w:val="22"/>
                <w:szCs w:val="22"/>
                <w:lang w:eastAsia="en-US"/>
              </w:rPr>
              <w:t>Ind</w:t>
            </w:r>
            <w:r w:rsidR="005E0760">
              <w:rPr>
                <w:rFonts w:eastAsia="Calibri" w:cs="Arial"/>
                <w:sz w:val="22"/>
                <w:szCs w:val="22"/>
                <w:lang w:eastAsia="en-US"/>
              </w:rPr>
              <w:t>ustry association</w:t>
            </w:r>
          </w:p>
          <w:p w:rsidR="006B4198" w:rsidRPr="00475345" w:rsidRDefault="006B4198" w:rsidP="00F243A8">
            <w:pPr>
              <w:tabs>
                <w:tab w:val="left" w:pos="702"/>
              </w:tabs>
              <w:ind w:left="252"/>
              <w:rPr>
                <w:rFonts w:eastAsia="Calibri" w:cs="Arial"/>
                <w:sz w:val="22"/>
                <w:szCs w:val="22"/>
                <w:lang w:eastAsia="en-US"/>
              </w:rPr>
            </w:pPr>
            <w:r w:rsidRPr="00475345">
              <w:rPr>
                <w:rFonts w:ascii="MS Gothic" w:eastAsia="MS Gothic" w:hAnsi="MS Gothic" w:cs="MS Gothic" w:hint="eastAsia"/>
                <w:lang w:eastAsia="en-US"/>
              </w:rPr>
              <w:t>☐</w:t>
            </w:r>
            <w:r w:rsidRPr="00475345">
              <w:rPr>
                <w:rFonts w:eastAsia="MS Gothic" w:cs="Arial"/>
                <w:lang w:eastAsia="en-US"/>
              </w:rPr>
              <w:t xml:space="preserve">   </w:t>
            </w:r>
            <w:r w:rsidR="00F243A8">
              <w:rPr>
                <w:rFonts w:eastAsia="MS Gothic" w:cs="Arial"/>
                <w:lang w:eastAsia="en-US"/>
              </w:rPr>
              <w:t xml:space="preserve"> </w:t>
            </w:r>
            <w:r w:rsidR="005E0760">
              <w:rPr>
                <w:rFonts w:eastAsia="Calibri" w:cs="Arial"/>
                <w:sz w:val="22"/>
                <w:szCs w:val="22"/>
                <w:lang w:eastAsia="en-US"/>
              </w:rPr>
              <w:t xml:space="preserve">Other </w:t>
            </w:r>
            <w:r w:rsidR="00F4132A">
              <w:rPr>
                <w:rFonts w:eastAsia="Calibri" w:cs="Arial"/>
                <w:sz w:val="22"/>
                <w:szCs w:val="22"/>
                <w:lang w:eastAsia="en-US"/>
              </w:rPr>
              <w:t>__________</w:t>
            </w:r>
          </w:p>
          <w:p w:rsidR="006B4198" w:rsidRPr="00475345" w:rsidRDefault="006B4198" w:rsidP="00156064">
            <w:pPr>
              <w:ind w:left="720"/>
              <w:rPr>
                <w:rFonts w:eastAsia="Calibri" w:cs="Arial"/>
                <w:sz w:val="22"/>
                <w:szCs w:val="22"/>
                <w:lang w:eastAsia="en-US"/>
              </w:rPr>
            </w:pPr>
          </w:p>
        </w:tc>
        <w:tc>
          <w:tcPr>
            <w:tcW w:w="270" w:type="dxa"/>
            <w:tcBorders>
              <w:left w:val="nil"/>
            </w:tcBorders>
            <w:shd w:val="clear" w:color="auto" w:fill="auto"/>
          </w:tcPr>
          <w:p w:rsidR="006B4198" w:rsidRPr="006B4198" w:rsidRDefault="006B4198" w:rsidP="006B4198">
            <w:pPr>
              <w:rPr>
                <w:rFonts w:ascii="Calibri" w:eastAsia="Calibri" w:hAnsi="Calibri"/>
                <w:sz w:val="22"/>
                <w:szCs w:val="22"/>
                <w:lang w:eastAsia="en-US"/>
              </w:rPr>
            </w:pPr>
          </w:p>
          <w:p w:rsidR="006B4198" w:rsidRPr="006B4198" w:rsidRDefault="006B4198" w:rsidP="006B4198">
            <w:pPr>
              <w:rPr>
                <w:rFonts w:ascii="Calibri" w:eastAsia="Calibri" w:hAnsi="Calibri"/>
                <w:sz w:val="22"/>
                <w:szCs w:val="22"/>
                <w:lang w:eastAsia="en-US"/>
              </w:rPr>
            </w:pPr>
          </w:p>
          <w:p w:rsidR="006B4198" w:rsidRPr="006B4198" w:rsidRDefault="006B4198" w:rsidP="006B4198">
            <w:pPr>
              <w:rPr>
                <w:rFonts w:ascii="Calibri" w:eastAsia="Calibri" w:hAnsi="Calibri"/>
                <w:i/>
                <w:sz w:val="18"/>
                <w:szCs w:val="18"/>
                <w:lang w:eastAsia="en-US"/>
              </w:rPr>
            </w:pPr>
            <w:r w:rsidRPr="006B4198">
              <w:rPr>
                <w:rFonts w:ascii="Calibri" w:eastAsia="Calibri" w:hAnsi="Calibri"/>
                <w:i/>
                <w:sz w:val="18"/>
                <w:szCs w:val="18"/>
                <w:lang w:eastAsia="en-US"/>
              </w:rPr>
              <w:t xml:space="preserve">     </w:t>
            </w:r>
          </w:p>
          <w:p w:rsidR="006B4198" w:rsidRPr="006B4198" w:rsidRDefault="006B4198" w:rsidP="006B4198">
            <w:pPr>
              <w:rPr>
                <w:rFonts w:ascii="Calibri" w:eastAsia="Calibri" w:hAnsi="Calibri"/>
                <w:sz w:val="22"/>
                <w:szCs w:val="22"/>
                <w:lang w:eastAsia="en-US"/>
              </w:rPr>
            </w:pPr>
          </w:p>
        </w:tc>
      </w:tr>
      <w:tr w:rsidR="00475345" w:rsidRPr="006B4198" w:rsidTr="005E0760">
        <w:tc>
          <w:tcPr>
            <w:tcW w:w="4608" w:type="dxa"/>
            <w:tcBorders>
              <w:right w:val="nil"/>
            </w:tcBorders>
            <w:shd w:val="clear" w:color="auto" w:fill="auto"/>
          </w:tcPr>
          <w:p w:rsidR="00475345" w:rsidRPr="005E0760" w:rsidRDefault="00475345" w:rsidP="00475345">
            <w:pPr>
              <w:spacing w:after="200" w:line="276" w:lineRule="auto"/>
              <w:contextualSpacing/>
              <w:rPr>
                <w:rFonts w:cs="Arial"/>
                <w:b/>
                <w:sz w:val="22"/>
                <w:szCs w:val="22"/>
              </w:rPr>
            </w:pPr>
            <w:r w:rsidRPr="005E0760">
              <w:rPr>
                <w:rFonts w:cs="Arial"/>
                <w:b/>
                <w:sz w:val="22"/>
                <w:szCs w:val="22"/>
              </w:rPr>
              <w:t>Region</w:t>
            </w:r>
          </w:p>
          <w:p w:rsidR="00475345" w:rsidRDefault="00475345" w:rsidP="005E0760">
            <w:pPr>
              <w:rPr>
                <w:rFonts w:eastAsia="Calibri" w:cs="Arial"/>
                <w:i/>
                <w:color w:val="7F7F7F"/>
                <w:sz w:val="20"/>
                <w:szCs w:val="22"/>
                <w:lang w:eastAsia="en-US"/>
              </w:rPr>
            </w:pPr>
            <w:r w:rsidRPr="005E0760">
              <w:rPr>
                <w:rFonts w:eastAsia="Calibri" w:cs="Arial"/>
                <w:i/>
                <w:color w:val="7F7F7F"/>
                <w:sz w:val="20"/>
                <w:szCs w:val="22"/>
                <w:lang w:eastAsia="en-US"/>
              </w:rPr>
              <w:t>(please refer to map and check appropriate box)</w:t>
            </w:r>
          </w:p>
          <w:p w:rsidR="005E0760" w:rsidRPr="005E0760" w:rsidRDefault="005E0760" w:rsidP="005E0760">
            <w:pPr>
              <w:rPr>
                <w:rFonts w:eastAsia="Calibri" w:cs="Arial"/>
                <w:i/>
                <w:color w:val="7F7F7F"/>
                <w:sz w:val="20"/>
                <w:szCs w:val="22"/>
                <w:lang w:eastAsia="en-US"/>
              </w:rPr>
            </w:pPr>
          </w:p>
          <w:p w:rsidR="00475345" w:rsidRPr="00475345" w:rsidRDefault="00475345" w:rsidP="00475345">
            <w:pPr>
              <w:pStyle w:val="ListParagraph"/>
              <w:numPr>
                <w:ilvl w:val="0"/>
                <w:numId w:val="13"/>
              </w:numPr>
              <w:spacing w:after="200" w:line="276" w:lineRule="auto"/>
              <w:contextualSpacing/>
              <w:rPr>
                <w:rFonts w:ascii="Arial" w:hAnsi="Arial" w:cs="Arial"/>
              </w:rPr>
            </w:pPr>
            <w:r w:rsidRPr="00475345">
              <w:rPr>
                <w:rFonts w:ascii="Arial" w:hAnsi="Arial" w:cs="Arial"/>
              </w:rPr>
              <w:t>1. Central Ontario</w:t>
            </w:r>
          </w:p>
          <w:p w:rsidR="00475345" w:rsidRPr="00475345" w:rsidRDefault="00475345" w:rsidP="00475345">
            <w:pPr>
              <w:pStyle w:val="ListParagraph"/>
              <w:numPr>
                <w:ilvl w:val="0"/>
                <w:numId w:val="13"/>
              </w:numPr>
              <w:spacing w:after="200" w:line="276" w:lineRule="auto"/>
              <w:contextualSpacing/>
              <w:rPr>
                <w:rFonts w:ascii="Arial" w:hAnsi="Arial" w:cs="Arial"/>
              </w:rPr>
            </w:pPr>
            <w:r w:rsidRPr="00475345">
              <w:rPr>
                <w:rFonts w:ascii="Arial" w:hAnsi="Arial" w:cs="Arial"/>
              </w:rPr>
              <w:t>2. Eastern Ontario</w:t>
            </w:r>
          </w:p>
          <w:p w:rsidR="00475345" w:rsidRPr="00475345" w:rsidRDefault="00475345" w:rsidP="00475345">
            <w:pPr>
              <w:pStyle w:val="ListParagraph"/>
              <w:numPr>
                <w:ilvl w:val="0"/>
                <w:numId w:val="13"/>
              </w:numPr>
              <w:spacing w:after="200" w:line="276" w:lineRule="auto"/>
              <w:contextualSpacing/>
              <w:rPr>
                <w:rFonts w:ascii="Arial" w:hAnsi="Arial" w:cs="Arial"/>
              </w:rPr>
            </w:pPr>
            <w:r w:rsidRPr="00475345">
              <w:rPr>
                <w:rFonts w:ascii="Arial" w:hAnsi="Arial" w:cs="Arial"/>
              </w:rPr>
              <w:t>3. Greater Toronto Area</w:t>
            </w:r>
          </w:p>
          <w:p w:rsidR="00475345" w:rsidRPr="00475345" w:rsidRDefault="00475345" w:rsidP="00475345">
            <w:pPr>
              <w:pStyle w:val="ListParagraph"/>
              <w:numPr>
                <w:ilvl w:val="0"/>
                <w:numId w:val="13"/>
              </w:numPr>
              <w:spacing w:after="200" w:line="276" w:lineRule="auto"/>
              <w:contextualSpacing/>
              <w:rPr>
                <w:rFonts w:ascii="Arial" w:hAnsi="Arial" w:cs="Arial"/>
              </w:rPr>
            </w:pPr>
            <w:r w:rsidRPr="00475345">
              <w:rPr>
                <w:rFonts w:ascii="Arial" w:hAnsi="Arial" w:cs="Arial"/>
              </w:rPr>
              <w:t>4. Northern Ontario</w:t>
            </w:r>
          </w:p>
          <w:p w:rsidR="00475345" w:rsidRPr="00475345" w:rsidRDefault="00475345" w:rsidP="00475345">
            <w:pPr>
              <w:pStyle w:val="ListParagraph"/>
              <w:numPr>
                <w:ilvl w:val="0"/>
                <w:numId w:val="13"/>
              </w:numPr>
              <w:spacing w:after="200" w:line="276" w:lineRule="auto"/>
              <w:contextualSpacing/>
              <w:rPr>
                <w:rFonts w:ascii="Arial" w:hAnsi="Arial" w:cs="Arial"/>
              </w:rPr>
            </w:pPr>
            <w:r w:rsidRPr="00475345">
              <w:rPr>
                <w:rFonts w:ascii="Arial" w:hAnsi="Arial" w:cs="Arial"/>
              </w:rPr>
              <w:t xml:space="preserve">5. Southeastern Ontario </w:t>
            </w:r>
          </w:p>
          <w:p w:rsidR="00475345" w:rsidRPr="00475345" w:rsidRDefault="00475345" w:rsidP="00475345">
            <w:pPr>
              <w:pStyle w:val="ListParagraph"/>
              <w:numPr>
                <w:ilvl w:val="0"/>
                <w:numId w:val="13"/>
              </w:numPr>
              <w:spacing w:after="200" w:line="276" w:lineRule="auto"/>
              <w:contextualSpacing/>
              <w:rPr>
                <w:rFonts w:ascii="Arial" w:hAnsi="Arial" w:cs="Arial"/>
              </w:rPr>
            </w:pPr>
            <w:r w:rsidRPr="00475345">
              <w:rPr>
                <w:rFonts w:ascii="Arial" w:hAnsi="Arial" w:cs="Arial"/>
              </w:rPr>
              <w:t>6. Southwestern Ontario</w:t>
            </w:r>
          </w:p>
          <w:p w:rsidR="00475345" w:rsidRPr="00475345" w:rsidRDefault="00475345" w:rsidP="006B4198">
            <w:pPr>
              <w:pStyle w:val="ListParagraph"/>
              <w:numPr>
                <w:ilvl w:val="0"/>
                <w:numId w:val="13"/>
              </w:numPr>
              <w:spacing w:after="200" w:line="276" w:lineRule="auto"/>
              <w:contextualSpacing/>
            </w:pPr>
            <w:r w:rsidRPr="00475345">
              <w:rPr>
                <w:rFonts w:ascii="Arial" w:hAnsi="Arial" w:cs="Arial"/>
              </w:rPr>
              <w:t>7. Western Ontario</w:t>
            </w:r>
          </w:p>
        </w:tc>
        <w:tc>
          <w:tcPr>
            <w:tcW w:w="4680" w:type="dxa"/>
            <w:gridSpan w:val="2"/>
            <w:tcBorders>
              <w:left w:val="nil"/>
              <w:right w:val="nil"/>
            </w:tcBorders>
            <w:shd w:val="clear" w:color="auto" w:fill="auto"/>
          </w:tcPr>
          <w:p w:rsidR="002308C1" w:rsidRDefault="00475345" w:rsidP="006B4198">
            <w:pPr>
              <w:tabs>
                <w:tab w:val="left" w:pos="638"/>
              </w:tabs>
            </w:pPr>
            <w:r>
              <w:object w:dxaOrig="6449" w:dyaOrig="5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79.25pt" o:ole="">
                  <v:imagedata r:id="rId19" o:title=""/>
                </v:shape>
                <o:OLEObject Type="Embed" ProgID="PBrush" ShapeID="_x0000_i1025" DrawAspect="Content" ObjectID="_1503842692" r:id="rId20"/>
              </w:object>
            </w:r>
          </w:p>
          <w:p w:rsidR="00203390" w:rsidRPr="006B4198" w:rsidRDefault="00203390" w:rsidP="006B4198">
            <w:pPr>
              <w:tabs>
                <w:tab w:val="left" w:pos="638"/>
              </w:tabs>
              <w:rPr>
                <w:rFonts w:ascii="Calibri" w:eastAsia="Calibri" w:hAnsi="Calibri"/>
                <w:sz w:val="22"/>
                <w:szCs w:val="22"/>
                <w:lang w:eastAsia="en-US"/>
              </w:rPr>
            </w:pPr>
          </w:p>
        </w:tc>
        <w:tc>
          <w:tcPr>
            <w:tcW w:w="270" w:type="dxa"/>
            <w:tcBorders>
              <w:left w:val="nil"/>
            </w:tcBorders>
            <w:shd w:val="clear" w:color="auto" w:fill="auto"/>
          </w:tcPr>
          <w:p w:rsidR="00475345" w:rsidRDefault="00475345" w:rsidP="006B4198">
            <w:pPr>
              <w:rPr>
                <w:rFonts w:ascii="Calibri" w:eastAsia="Calibri" w:hAnsi="Calibri"/>
                <w:sz w:val="22"/>
                <w:szCs w:val="22"/>
                <w:lang w:eastAsia="en-US"/>
              </w:rPr>
            </w:pPr>
          </w:p>
          <w:p w:rsidR="00203390" w:rsidRDefault="00203390" w:rsidP="006B4198">
            <w:pPr>
              <w:rPr>
                <w:rFonts w:ascii="Calibri" w:eastAsia="Calibri" w:hAnsi="Calibri"/>
                <w:sz w:val="22"/>
                <w:szCs w:val="22"/>
                <w:lang w:eastAsia="en-US"/>
              </w:rPr>
            </w:pPr>
          </w:p>
          <w:p w:rsidR="00203390" w:rsidRPr="006B4198" w:rsidRDefault="00203390" w:rsidP="006B4198">
            <w:pPr>
              <w:rPr>
                <w:rFonts w:ascii="Calibri" w:eastAsia="Calibri" w:hAnsi="Calibri"/>
                <w:sz w:val="22"/>
                <w:szCs w:val="22"/>
                <w:lang w:eastAsia="en-US"/>
              </w:rPr>
            </w:pPr>
          </w:p>
        </w:tc>
      </w:tr>
      <w:tr w:rsidR="006B4198" w:rsidRPr="006B4198" w:rsidTr="0027324C">
        <w:tc>
          <w:tcPr>
            <w:tcW w:w="9558" w:type="dxa"/>
            <w:gridSpan w:val="4"/>
            <w:shd w:val="clear" w:color="auto" w:fill="548DD4"/>
          </w:tcPr>
          <w:p w:rsidR="006B4198" w:rsidRPr="00D965B1" w:rsidRDefault="00612B97" w:rsidP="00CE25E8">
            <w:pPr>
              <w:spacing w:before="120" w:after="120"/>
              <w:jc w:val="center"/>
              <w:rPr>
                <w:rFonts w:eastAsia="Calibri" w:cs="Arial"/>
                <w:b/>
                <w:lang w:eastAsia="en-US"/>
              </w:rPr>
            </w:pPr>
            <w:r>
              <w:rPr>
                <w:rFonts w:eastAsia="Calibri" w:cs="Arial"/>
                <w:b/>
                <w:color w:val="FFFFFF"/>
                <w:lang w:eastAsia="en-US"/>
              </w:rPr>
              <w:lastRenderedPageBreak/>
              <w:t>Proposed Regulations</w:t>
            </w:r>
          </w:p>
        </w:tc>
      </w:tr>
      <w:tr w:rsidR="006B4198" w:rsidRPr="006B4198" w:rsidTr="00CE25E8">
        <w:tc>
          <w:tcPr>
            <w:tcW w:w="9558" w:type="dxa"/>
            <w:gridSpan w:val="4"/>
            <w:tcBorders>
              <w:bottom w:val="single" w:sz="4" w:space="0" w:color="auto"/>
            </w:tcBorders>
            <w:shd w:val="clear" w:color="auto" w:fill="DBE5F1"/>
          </w:tcPr>
          <w:p w:rsidR="008A09C2" w:rsidRPr="008A09C2" w:rsidRDefault="008A09C2" w:rsidP="008A09C2">
            <w:pPr>
              <w:spacing w:before="120"/>
              <w:rPr>
                <w:rFonts w:eastAsia="Calibri" w:cs="Arial"/>
                <w:b/>
                <w:sz w:val="22"/>
                <w:szCs w:val="22"/>
                <w:lang w:eastAsia="en-US"/>
              </w:rPr>
            </w:pPr>
            <w:r w:rsidRPr="008A09C2">
              <w:rPr>
                <w:rFonts w:eastAsia="Calibri" w:cs="Arial"/>
                <w:b/>
                <w:sz w:val="22"/>
                <w:szCs w:val="22"/>
                <w:lang w:eastAsia="en-US"/>
              </w:rPr>
              <w:t>Definitions</w:t>
            </w:r>
          </w:p>
          <w:p w:rsidR="00241E8A" w:rsidRPr="00241E8A" w:rsidRDefault="00241E8A" w:rsidP="00241E8A">
            <w:pPr>
              <w:spacing w:before="120"/>
              <w:rPr>
                <w:rFonts w:eastAsia="Calibri" w:cs="Arial"/>
                <w:sz w:val="22"/>
                <w:szCs w:val="22"/>
                <w:lang w:eastAsia="en-US"/>
              </w:rPr>
            </w:pPr>
            <w:r w:rsidRPr="00241E8A">
              <w:rPr>
                <w:rFonts w:eastAsia="Calibri" w:cs="Arial"/>
                <w:sz w:val="22"/>
                <w:szCs w:val="22"/>
                <w:lang w:eastAsia="en-US"/>
              </w:rPr>
              <w:t>For the purposes of this regulation, a tow and storage provider means:</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A tow and storage services operator;</w:t>
            </w:r>
            <w:r w:rsidR="004363F6">
              <w:rPr>
                <w:rFonts w:ascii="Arial" w:hAnsi="Arial" w:cs="Arial"/>
              </w:rPr>
              <w:t xml:space="preserve"> and</w:t>
            </w:r>
          </w:p>
          <w:p w:rsidR="004363F6" w:rsidRPr="004363F6" w:rsidRDefault="00241E8A" w:rsidP="004363F6">
            <w:pPr>
              <w:pStyle w:val="ListParagraph"/>
              <w:numPr>
                <w:ilvl w:val="0"/>
                <w:numId w:val="16"/>
              </w:numPr>
              <w:spacing w:after="120"/>
              <w:contextualSpacing/>
              <w:rPr>
                <w:rFonts w:ascii="Arial" w:hAnsi="Arial" w:cs="Arial"/>
              </w:rPr>
            </w:pPr>
            <w:r w:rsidRPr="00241E8A">
              <w:rPr>
                <w:rFonts w:ascii="Arial" w:hAnsi="Arial" w:cs="Arial"/>
              </w:rPr>
              <w:t>A tow truck broker or a tow truck driver</w:t>
            </w:r>
            <w:r w:rsidR="004363F6">
              <w:rPr>
                <w:rFonts w:ascii="Arial" w:hAnsi="Arial" w:cs="Arial"/>
              </w:rPr>
              <w:t xml:space="preserve">. </w:t>
            </w:r>
          </w:p>
          <w:p w:rsidR="00241E8A" w:rsidRPr="004363F6" w:rsidRDefault="00241E8A" w:rsidP="004363F6">
            <w:pPr>
              <w:spacing w:after="120"/>
              <w:rPr>
                <w:rFonts w:eastAsia="Calibri" w:cs="Arial"/>
                <w:sz w:val="22"/>
                <w:szCs w:val="22"/>
                <w:lang w:eastAsia="en-US"/>
              </w:rPr>
            </w:pPr>
            <w:r w:rsidRPr="004363F6">
              <w:rPr>
                <w:rFonts w:eastAsia="Calibri" w:cs="Arial"/>
                <w:sz w:val="22"/>
                <w:szCs w:val="22"/>
                <w:lang w:eastAsia="en-US"/>
              </w:rPr>
              <w:t>In all cases a tow and storage provider would be a supplier under the CPA.</w:t>
            </w:r>
          </w:p>
          <w:p w:rsidR="00241E8A" w:rsidRPr="00241E8A" w:rsidRDefault="00241E8A" w:rsidP="00241E8A">
            <w:pPr>
              <w:spacing w:after="120"/>
              <w:rPr>
                <w:rFonts w:eastAsia="Calibri" w:cs="Arial"/>
                <w:sz w:val="22"/>
                <w:szCs w:val="22"/>
                <w:lang w:eastAsia="en-US"/>
              </w:rPr>
            </w:pPr>
            <w:r w:rsidRPr="00241E8A">
              <w:rPr>
                <w:rFonts w:eastAsia="Calibri" w:cs="Arial"/>
                <w:sz w:val="22"/>
                <w:szCs w:val="22"/>
                <w:lang w:eastAsia="en-US"/>
              </w:rPr>
              <w:t xml:space="preserve">A definition is proposed for a tow and storage services operator. For tow services, it would be a supplier who holds or is required to hold a valid Commercial Vehicle Operator’s Registration (CVOR) certificate for a commercial motor vehicle, for driving or operating a tow truck under the Highway Traffic Act (HTA).  It would also include a supplier, who would have been required to hold a CVOR certificate if one or more of its trucks had been registered under the HTA, in order to capture a supplier with a tow truck from another province, who is engaging in a transaction with a consumer in Ontario.  </w:t>
            </w:r>
          </w:p>
          <w:p w:rsidR="00A809F4" w:rsidRPr="00241E8A" w:rsidRDefault="00241E8A" w:rsidP="00241E8A">
            <w:pPr>
              <w:spacing w:after="120"/>
              <w:rPr>
                <w:rFonts w:eastAsiaTheme="minorHAnsi" w:cs="Arial"/>
                <w:lang w:eastAsia="en-US"/>
              </w:rPr>
            </w:pPr>
            <w:r w:rsidRPr="00241E8A">
              <w:rPr>
                <w:rFonts w:eastAsia="Calibri" w:cs="Arial"/>
                <w:sz w:val="22"/>
                <w:szCs w:val="22"/>
                <w:lang w:eastAsia="en-US"/>
              </w:rPr>
              <w:t>For storage services, a tow and storage services operator would mean a supplier who provides storage services in respect of a tow service that is subject to Part VI.1 of the CPA, such as when a vehicle is towed to a storage facility after breaking down on the highway. A tow and storage services operator can be one that provides only tow or storage services or both.</w:t>
            </w:r>
          </w:p>
        </w:tc>
      </w:tr>
      <w:tr w:rsidR="00475345" w:rsidRPr="006B4198" w:rsidTr="00CE25E8">
        <w:tc>
          <w:tcPr>
            <w:tcW w:w="9558" w:type="dxa"/>
            <w:gridSpan w:val="4"/>
            <w:shd w:val="clear" w:color="auto" w:fill="D9D9D9" w:themeFill="background1" w:themeFillShade="D9"/>
          </w:tcPr>
          <w:p w:rsidR="00475345" w:rsidRPr="008A09C2" w:rsidRDefault="00475345" w:rsidP="008A09C2">
            <w:pPr>
              <w:spacing w:before="60" w:after="60"/>
              <w:rPr>
                <w:rFonts w:eastAsia="Calibri" w:cs="Arial"/>
                <w:b/>
                <w:color w:val="7F7F7F"/>
                <w:sz w:val="22"/>
                <w:szCs w:val="22"/>
                <w:lang w:eastAsia="en-US"/>
              </w:rPr>
            </w:pPr>
            <w:r w:rsidRPr="008A09C2">
              <w:rPr>
                <w:rFonts w:eastAsia="Calibri" w:cs="Arial"/>
                <w:b/>
                <w:sz w:val="22"/>
                <w:szCs w:val="22"/>
                <w:lang w:eastAsia="en-US"/>
              </w:rPr>
              <w:t>Do you have any comments regarding</w:t>
            </w:r>
            <w:r w:rsidR="006953D0" w:rsidRPr="008A09C2">
              <w:rPr>
                <w:rFonts w:cs="Arial"/>
                <w:b/>
              </w:rPr>
              <w:t xml:space="preserve"> </w:t>
            </w:r>
            <w:r w:rsidR="006953D0" w:rsidRPr="008A09C2">
              <w:rPr>
                <w:rFonts w:eastAsia="Calibri" w:cs="Arial"/>
                <w:b/>
                <w:sz w:val="22"/>
                <w:szCs w:val="22"/>
                <w:lang w:eastAsia="en-US"/>
              </w:rPr>
              <w:t>definitions</w:t>
            </w:r>
            <w:r w:rsidR="008A09C2" w:rsidRPr="008A09C2">
              <w:rPr>
                <w:rFonts w:eastAsia="Calibri" w:cs="Arial"/>
                <w:b/>
                <w:sz w:val="22"/>
                <w:szCs w:val="22"/>
                <w:lang w:eastAsia="en-US"/>
              </w:rPr>
              <w:t>?</w:t>
            </w:r>
          </w:p>
        </w:tc>
      </w:tr>
      <w:tr w:rsidR="006B4198" w:rsidRPr="006B4198" w:rsidTr="0027324C">
        <w:tc>
          <w:tcPr>
            <w:tcW w:w="9558" w:type="dxa"/>
            <w:gridSpan w:val="4"/>
            <w:shd w:val="clear" w:color="auto" w:fill="auto"/>
          </w:tcPr>
          <w:p w:rsidR="006B4198" w:rsidRPr="008A09C2" w:rsidRDefault="006B4198" w:rsidP="006B4198">
            <w:pPr>
              <w:rPr>
                <w:rFonts w:eastAsia="Calibri" w:cs="Arial"/>
                <w:i/>
                <w:color w:val="7F7F7F"/>
                <w:sz w:val="22"/>
                <w:szCs w:val="22"/>
                <w:lang w:eastAsia="en-US"/>
              </w:rPr>
            </w:pPr>
            <w:r w:rsidRPr="008A09C2">
              <w:rPr>
                <w:rFonts w:eastAsia="Calibri" w:cs="Arial"/>
                <w:i/>
                <w:color w:val="7F7F7F"/>
                <w:sz w:val="22"/>
                <w:szCs w:val="22"/>
                <w:lang w:eastAsia="en-US"/>
              </w:rPr>
              <w:t>(insert comments – if necessary the box will expand as you type)</w:t>
            </w:r>
          </w:p>
          <w:p w:rsidR="006B4198" w:rsidRPr="008A09C2" w:rsidRDefault="006B4198" w:rsidP="006B4198">
            <w:pPr>
              <w:rPr>
                <w:rFonts w:eastAsia="Calibri" w:cs="Arial"/>
                <w:sz w:val="22"/>
                <w:szCs w:val="22"/>
                <w:lang w:eastAsia="en-US"/>
              </w:rPr>
            </w:pPr>
          </w:p>
          <w:p w:rsidR="006B4198" w:rsidRPr="008A09C2" w:rsidRDefault="006B4198" w:rsidP="006953D0">
            <w:pPr>
              <w:rPr>
                <w:rFonts w:eastAsia="Calibri" w:cs="Arial"/>
                <w:sz w:val="22"/>
                <w:szCs w:val="22"/>
                <w:lang w:eastAsia="en-US"/>
              </w:rPr>
            </w:pPr>
          </w:p>
        </w:tc>
      </w:tr>
      <w:tr w:rsidR="006B4198" w:rsidRPr="006B4198" w:rsidTr="00CE25E8">
        <w:tc>
          <w:tcPr>
            <w:tcW w:w="9558" w:type="dxa"/>
            <w:gridSpan w:val="4"/>
            <w:tcBorders>
              <w:bottom w:val="single" w:sz="4" w:space="0" w:color="auto"/>
            </w:tcBorders>
            <w:shd w:val="clear" w:color="auto" w:fill="DBE5F1"/>
          </w:tcPr>
          <w:p w:rsidR="00325208" w:rsidRPr="00325208" w:rsidRDefault="00325208" w:rsidP="008A09C2">
            <w:pPr>
              <w:spacing w:before="120"/>
              <w:rPr>
                <w:rFonts w:eastAsia="Calibri" w:cs="Arial"/>
                <w:b/>
                <w:sz w:val="22"/>
                <w:szCs w:val="22"/>
                <w:lang w:eastAsia="en-US"/>
              </w:rPr>
            </w:pPr>
            <w:r w:rsidRPr="00325208">
              <w:rPr>
                <w:rFonts w:eastAsia="Calibri" w:cs="Arial"/>
                <w:b/>
                <w:sz w:val="22"/>
                <w:szCs w:val="22"/>
                <w:lang w:eastAsia="en-US"/>
              </w:rPr>
              <w:t>Disclosure</w:t>
            </w:r>
          </w:p>
          <w:p w:rsidR="00241E8A" w:rsidRPr="00241E8A" w:rsidRDefault="00241E8A" w:rsidP="00241E8A">
            <w:pPr>
              <w:spacing w:before="120"/>
              <w:rPr>
                <w:rFonts w:eastAsia="Calibri" w:cs="Arial"/>
                <w:sz w:val="22"/>
                <w:szCs w:val="22"/>
                <w:lang w:eastAsia="en-US"/>
              </w:rPr>
            </w:pPr>
            <w:r w:rsidRPr="00241E8A">
              <w:rPr>
                <w:rFonts w:eastAsia="Calibri" w:cs="Arial"/>
                <w:sz w:val="22"/>
                <w:szCs w:val="22"/>
                <w:lang w:eastAsia="en-US"/>
              </w:rPr>
              <w:t>Towing and storage  providers would be required to give consumers the following information, before the consumer or a person acting on the consumer’s behalf gives authorization for the services:</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The name of the  provider and, if different, the name under which the provider carries on business;</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 xml:space="preserve">The telephone number of the provider, the address of the principal place of business and information about other ways, if any, that the consumer can contact the provider, such as by fax, email or through a website; </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 xml:space="preserve">A current statement of rates; and </w:t>
            </w:r>
          </w:p>
          <w:p w:rsidR="00241E8A" w:rsidRPr="00241E8A" w:rsidRDefault="00241E8A" w:rsidP="00241E8A">
            <w:pPr>
              <w:pStyle w:val="ListParagraph"/>
              <w:numPr>
                <w:ilvl w:val="0"/>
                <w:numId w:val="16"/>
              </w:numPr>
              <w:spacing w:after="120"/>
              <w:contextualSpacing/>
              <w:rPr>
                <w:rFonts w:ascii="Arial" w:hAnsi="Arial" w:cs="Arial"/>
              </w:rPr>
            </w:pPr>
            <w:r w:rsidRPr="00241E8A">
              <w:rPr>
                <w:rFonts w:ascii="Arial" w:hAnsi="Arial" w:cs="Arial"/>
              </w:rPr>
              <w:t xml:space="preserve">The address of the location where the provider will take the vehicle. </w:t>
            </w:r>
          </w:p>
          <w:p w:rsidR="00241E8A" w:rsidRPr="00241E8A" w:rsidRDefault="00241E8A" w:rsidP="00241E8A">
            <w:pPr>
              <w:spacing w:after="120"/>
              <w:rPr>
                <w:rFonts w:eastAsia="Calibri" w:cs="Arial"/>
                <w:sz w:val="22"/>
                <w:szCs w:val="22"/>
                <w:lang w:eastAsia="en-US"/>
              </w:rPr>
            </w:pPr>
            <w:r w:rsidRPr="00241E8A">
              <w:rPr>
                <w:rFonts w:eastAsia="Calibri" w:cs="Arial"/>
                <w:sz w:val="22"/>
                <w:szCs w:val="22"/>
                <w:lang w:eastAsia="en-US"/>
              </w:rPr>
              <w:t xml:space="preserve">In addition, a tow and storage provider must disclose if it has a direct or indirect interest in a location or facility where vehicles may be towed for repair, storage or appraisal.  </w:t>
            </w:r>
          </w:p>
          <w:p w:rsidR="00A809F4" w:rsidRPr="008A09C2" w:rsidRDefault="00241E8A" w:rsidP="004363F6">
            <w:pPr>
              <w:spacing w:after="120"/>
              <w:rPr>
                <w:rFonts w:eastAsia="Calibri" w:cs="Arial"/>
                <w:sz w:val="22"/>
                <w:szCs w:val="22"/>
                <w:lang w:eastAsia="en-US"/>
              </w:rPr>
            </w:pPr>
            <w:r w:rsidRPr="00241E8A">
              <w:rPr>
                <w:rFonts w:eastAsia="Calibri" w:cs="Arial"/>
                <w:sz w:val="22"/>
                <w:szCs w:val="22"/>
                <w:lang w:eastAsia="en-US"/>
              </w:rPr>
              <w:t>This disclosure requirement would not apply in circumstances where a tow and storage provider provides services as a result of the vehicle being impounded, detained under the authority of other laws, or otherwise lawfully seized.</w:t>
            </w:r>
          </w:p>
        </w:tc>
      </w:tr>
      <w:tr w:rsidR="00475345" w:rsidRPr="006B4198" w:rsidTr="00CE25E8">
        <w:tc>
          <w:tcPr>
            <w:tcW w:w="9558" w:type="dxa"/>
            <w:gridSpan w:val="4"/>
            <w:shd w:val="clear" w:color="auto" w:fill="D9D9D9" w:themeFill="background1" w:themeFillShade="D9"/>
          </w:tcPr>
          <w:p w:rsidR="00475345" w:rsidRPr="008A09C2" w:rsidRDefault="00475345" w:rsidP="008A09C2">
            <w:pPr>
              <w:spacing w:before="60" w:after="60"/>
              <w:rPr>
                <w:rFonts w:eastAsia="Calibri" w:cs="Arial"/>
                <w:b/>
                <w:sz w:val="22"/>
                <w:szCs w:val="22"/>
                <w:lang w:eastAsia="en-US"/>
              </w:rPr>
            </w:pPr>
            <w:r w:rsidRPr="008A09C2">
              <w:rPr>
                <w:rFonts w:eastAsia="Calibri" w:cs="Arial"/>
                <w:b/>
                <w:sz w:val="22"/>
                <w:szCs w:val="22"/>
                <w:lang w:eastAsia="en-US"/>
              </w:rPr>
              <w:t>Do you have any comments regarding</w:t>
            </w:r>
            <w:r w:rsidR="006953D0" w:rsidRPr="008A09C2">
              <w:rPr>
                <w:rFonts w:eastAsia="Calibri" w:cs="Arial"/>
                <w:b/>
                <w:sz w:val="22"/>
                <w:szCs w:val="22"/>
                <w:lang w:eastAsia="en-US"/>
              </w:rPr>
              <w:t xml:space="preserve"> disclosure?</w:t>
            </w:r>
          </w:p>
        </w:tc>
      </w:tr>
      <w:tr w:rsidR="006B4198" w:rsidRPr="006B4198" w:rsidTr="0027324C">
        <w:tc>
          <w:tcPr>
            <w:tcW w:w="9558" w:type="dxa"/>
            <w:gridSpan w:val="4"/>
            <w:shd w:val="clear" w:color="auto" w:fill="auto"/>
          </w:tcPr>
          <w:p w:rsidR="008A09C2" w:rsidRPr="008A09C2" w:rsidRDefault="008A09C2" w:rsidP="008A09C2">
            <w:pPr>
              <w:rPr>
                <w:rFonts w:eastAsia="Calibri" w:cs="Arial"/>
                <w:i/>
                <w:color w:val="7F7F7F"/>
                <w:sz w:val="22"/>
                <w:szCs w:val="22"/>
                <w:lang w:eastAsia="en-US"/>
              </w:rPr>
            </w:pPr>
            <w:r w:rsidRPr="008A09C2">
              <w:rPr>
                <w:rFonts w:eastAsia="Calibri" w:cs="Arial"/>
                <w:i/>
                <w:color w:val="7F7F7F"/>
                <w:sz w:val="22"/>
                <w:szCs w:val="22"/>
                <w:lang w:eastAsia="en-US"/>
              </w:rPr>
              <w:t>(insert comments – if necessary the box will expand as you type)</w:t>
            </w:r>
          </w:p>
          <w:p w:rsidR="008A09C2" w:rsidRPr="008A09C2" w:rsidRDefault="008A09C2" w:rsidP="008A09C2">
            <w:pPr>
              <w:rPr>
                <w:rFonts w:eastAsia="Calibri" w:cs="Arial"/>
                <w:sz w:val="22"/>
                <w:szCs w:val="22"/>
                <w:lang w:eastAsia="en-US"/>
              </w:rPr>
            </w:pPr>
          </w:p>
          <w:p w:rsidR="006B4198" w:rsidRPr="008A09C2" w:rsidRDefault="006B4198" w:rsidP="006B4198">
            <w:pPr>
              <w:rPr>
                <w:rFonts w:eastAsia="Calibri" w:cs="Arial"/>
                <w:sz w:val="22"/>
                <w:szCs w:val="22"/>
                <w:lang w:eastAsia="en-US"/>
              </w:rPr>
            </w:pPr>
          </w:p>
        </w:tc>
      </w:tr>
      <w:tr w:rsidR="006B4198" w:rsidRPr="006B4198" w:rsidTr="00CE25E8">
        <w:tc>
          <w:tcPr>
            <w:tcW w:w="9558" w:type="dxa"/>
            <w:gridSpan w:val="4"/>
            <w:tcBorders>
              <w:bottom w:val="single" w:sz="4" w:space="0" w:color="auto"/>
            </w:tcBorders>
            <w:shd w:val="clear" w:color="auto" w:fill="DBE5F1"/>
          </w:tcPr>
          <w:p w:rsidR="00325208" w:rsidRPr="00325208" w:rsidRDefault="00325208" w:rsidP="00325208">
            <w:pPr>
              <w:spacing w:before="120"/>
              <w:rPr>
                <w:rFonts w:eastAsia="Calibri" w:cs="Arial"/>
                <w:b/>
                <w:sz w:val="22"/>
                <w:szCs w:val="22"/>
                <w:lang w:eastAsia="en-US"/>
              </w:rPr>
            </w:pPr>
            <w:r w:rsidRPr="00325208">
              <w:rPr>
                <w:rFonts w:eastAsia="Calibri" w:cs="Arial"/>
                <w:b/>
                <w:sz w:val="22"/>
                <w:szCs w:val="22"/>
                <w:lang w:eastAsia="en-US"/>
              </w:rPr>
              <w:t>Authorization</w:t>
            </w:r>
          </w:p>
          <w:p w:rsidR="00241E8A" w:rsidRPr="00241E8A" w:rsidRDefault="00241E8A" w:rsidP="00241E8A">
            <w:pPr>
              <w:spacing w:before="120" w:after="120"/>
              <w:rPr>
                <w:rFonts w:eastAsia="Calibri" w:cs="Arial"/>
                <w:sz w:val="22"/>
                <w:szCs w:val="22"/>
                <w:lang w:eastAsia="en-US"/>
              </w:rPr>
            </w:pPr>
            <w:r w:rsidRPr="00241E8A">
              <w:rPr>
                <w:rFonts w:eastAsia="Calibri" w:cs="Arial"/>
                <w:sz w:val="22"/>
                <w:szCs w:val="22"/>
                <w:lang w:eastAsia="en-US"/>
              </w:rPr>
              <w:t xml:space="preserve">A tow and storage provider would be required to get a written authorization from the consumer. If the consumer is unable to give authorization as a result of the circumstances – for example due to injury – it could be provided by a person acting on behalf of the consumer. The authorization would have to include the name and contact information of the consumer or the </w:t>
            </w:r>
            <w:r w:rsidRPr="00241E8A">
              <w:rPr>
                <w:rFonts w:eastAsia="Calibri" w:cs="Arial"/>
                <w:sz w:val="22"/>
                <w:szCs w:val="22"/>
                <w:lang w:eastAsia="en-US"/>
              </w:rPr>
              <w:lastRenderedPageBreak/>
              <w:t xml:space="preserve">person acting on their behalf, and the date and time the authorization was given. A copy of the authorization would have to be given to the consumer or the person acting on their behalf. If the authorization is not given in writing, it would have to be recorded in a way that would allow the person who gave the authorization to retain and make a copy </w:t>
            </w:r>
            <w:r w:rsidR="004363F6">
              <w:rPr>
                <w:rFonts w:eastAsia="Calibri" w:cs="Arial"/>
                <w:sz w:val="22"/>
                <w:szCs w:val="22"/>
                <w:lang w:eastAsia="en-US"/>
              </w:rPr>
              <w:t xml:space="preserve">of </w:t>
            </w:r>
            <w:r w:rsidRPr="00241E8A">
              <w:rPr>
                <w:rFonts w:eastAsia="Calibri" w:cs="Arial"/>
                <w:sz w:val="22"/>
                <w:szCs w:val="22"/>
                <w:lang w:eastAsia="en-US"/>
              </w:rPr>
              <w:t>it.</w:t>
            </w:r>
          </w:p>
          <w:p w:rsidR="00A809F4" w:rsidRPr="008A09C2" w:rsidRDefault="00241E8A" w:rsidP="004363F6">
            <w:pPr>
              <w:spacing w:after="120"/>
              <w:rPr>
                <w:rFonts w:eastAsia="Calibri" w:cs="Arial"/>
                <w:sz w:val="22"/>
                <w:szCs w:val="22"/>
                <w:lang w:eastAsia="en-US"/>
              </w:rPr>
            </w:pPr>
            <w:r w:rsidRPr="00241E8A">
              <w:rPr>
                <w:rFonts w:eastAsia="Calibri" w:cs="Arial"/>
                <w:sz w:val="22"/>
                <w:szCs w:val="22"/>
                <w:lang w:eastAsia="en-US"/>
              </w:rPr>
              <w:t>An authorization would not apply in circumstances where a tow and storage provider provides</w:t>
            </w:r>
            <w:r w:rsidR="004363F6">
              <w:rPr>
                <w:rFonts w:eastAsia="Calibri" w:cs="Arial"/>
                <w:sz w:val="22"/>
                <w:szCs w:val="22"/>
                <w:lang w:eastAsia="en-US"/>
              </w:rPr>
              <w:t xml:space="preserve"> </w:t>
            </w:r>
            <w:r w:rsidRPr="00241E8A">
              <w:rPr>
                <w:rFonts w:eastAsia="Calibri" w:cs="Arial"/>
                <w:sz w:val="22"/>
                <w:szCs w:val="22"/>
                <w:lang w:eastAsia="en-US"/>
              </w:rPr>
              <w:t>services as a result of the vehicle being impounded, detained under the authority of other laws, or otherwise lawfully seized.</w:t>
            </w:r>
          </w:p>
        </w:tc>
      </w:tr>
      <w:tr w:rsidR="00475345" w:rsidRPr="006B4198" w:rsidTr="00CE25E8">
        <w:tc>
          <w:tcPr>
            <w:tcW w:w="9558" w:type="dxa"/>
            <w:gridSpan w:val="4"/>
            <w:shd w:val="clear" w:color="auto" w:fill="D9D9D9" w:themeFill="background1" w:themeFillShade="D9"/>
          </w:tcPr>
          <w:p w:rsidR="00475345" w:rsidRPr="008A09C2" w:rsidRDefault="00475345" w:rsidP="008A09C2">
            <w:pPr>
              <w:spacing w:before="60" w:after="60"/>
              <w:rPr>
                <w:rFonts w:eastAsia="Calibri" w:cs="Arial"/>
                <w:i/>
                <w:color w:val="7F7F7F"/>
                <w:sz w:val="22"/>
                <w:szCs w:val="22"/>
                <w:lang w:eastAsia="en-US"/>
              </w:rPr>
            </w:pPr>
            <w:r w:rsidRPr="008A09C2">
              <w:rPr>
                <w:rFonts w:eastAsia="Calibri" w:cs="Arial"/>
                <w:b/>
                <w:sz w:val="22"/>
                <w:szCs w:val="22"/>
                <w:lang w:eastAsia="en-US"/>
              </w:rPr>
              <w:lastRenderedPageBreak/>
              <w:t>Do you have any comments regarding</w:t>
            </w:r>
            <w:r w:rsidR="006953D0" w:rsidRPr="008A09C2">
              <w:rPr>
                <w:rFonts w:eastAsia="Calibri" w:cs="Arial"/>
                <w:b/>
                <w:sz w:val="22"/>
                <w:szCs w:val="22"/>
                <w:lang w:eastAsia="en-US"/>
              </w:rPr>
              <w:t xml:space="preserve"> authorization</w:t>
            </w:r>
            <w:r w:rsidRPr="008A09C2">
              <w:rPr>
                <w:rFonts w:eastAsia="Calibri" w:cs="Arial"/>
                <w:b/>
                <w:sz w:val="22"/>
                <w:szCs w:val="22"/>
                <w:lang w:eastAsia="en-US"/>
              </w:rPr>
              <w:t>?</w:t>
            </w:r>
          </w:p>
        </w:tc>
      </w:tr>
      <w:tr w:rsidR="006B4198" w:rsidRPr="006B4198" w:rsidTr="0027324C">
        <w:tc>
          <w:tcPr>
            <w:tcW w:w="9558" w:type="dxa"/>
            <w:gridSpan w:val="4"/>
            <w:shd w:val="clear" w:color="auto" w:fill="auto"/>
          </w:tcPr>
          <w:p w:rsidR="008A09C2" w:rsidRPr="008A09C2" w:rsidRDefault="008A09C2" w:rsidP="008A09C2">
            <w:pPr>
              <w:rPr>
                <w:rFonts w:eastAsia="Calibri" w:cs="Arial"/>
                <w:i/>
                <w:color w:val="7F7F7F"/>
                <w:sz w:val="22"/>
                <w:szCs w:val="22"/>
                <w:lang w:eastAsia="en-US"/>
              </w:rPr>
            </w:pPr>
            <w:r w:rsidRPr="008A09C2">
              <w:rPr>
                <w:rFonts w:eastAsia="Calibri" w:cs="Arial"/>
                <w:i/>
                <w:color w:val="7F7F7F"/>
                <w:sz w:val="22"/>
                <w:szCs w:val="22"/>
                <w:lang w:eastAsia="en-US"/>
              </w:rPr>
              <w:t>(insert comments – if necessary the box will expand as you type)</w:t>
            </w:r>
          </w:p>
          <w:p w:rsidR="008A09C2" w:rsidRPr="008A09C2" w:rsidRDefault="008A09C2" w:rsidP="008A09C2">
            <w:pPr>
              <w:rPr>
                <w:rFonts w:eastAsia="Calibri" w:cs="Arial"/>
                <w:sz w:val="22"/>
                <w:szCs w:val="22"/>
                <w:lang w:eastAsia="en-US"/>
              </w:rPr>
            </w:pPr>
          </w:p>
          <w:p w:rsidR="006B4198" w:rsidRPr="008A09C2" w:rsidRDefault="006B4198" w:rsidP="006B4198">
            <w:pPr>
              <w:rPr>
                <w:rFonts w:eastAsia="Calibri" w:cs="Arial"/>
                <w:sz w:val="22"/>
                <w:szCs w:val="22"/>
                <w:lang w:eastAsia="en-US"/>
              </w:rPr>
            </w:pPr>
          </w:p>
        </w:tc>
      </w:tr>
      <w:tr w:rsidR="006B4198" w:rsidRPr="006B4198" w:rsidTr="00CE25E8">
        <w:trPr>
          <w:trHeight w:val="197"/>
        </w:trPr>
        <w:tc>
          <w:tcPr>
            <w:tcW w:w="9558" w:type="dxa"/>
            <w:gridSpan w:val="4"/>
            <w:tcBorders>
              <w:bottom w:val="single" w:sz="4" w:space="0" w:color="auto"/>
            </w:tcBorders>
            <w:shd w:val="clear" w:color="auto" w:fill="DBE5F1"/>
          </w:tcPr>
          <w:p w:rsidR="00325208" w:rsidRPr="00325208" w:rsidRDefault="00325208" w:rsidP="00325208">
            <w:pPr>
              <w:spacing w:before="120"/>
              <w:rPr>
                <w:rFonts w:eastAsia="Calibri" w:cs="Arial"/>
                <w:b/>
                <w:sz w:val="22"/>
                <w:szCs w:val="22"/>
                <w:lang w:eastAsia="en-US"/>
              </w:rPr>
            </w:pPr>
            <w:r w:rsidRPr="00325208">
              <w:rPr>
                <w:rFonts w:eastAsia="Calibri" w:cs="Arial"/>
                <w:b/>
                <w:sz w:val="22"/>
                <w:szCs w:val="22"/>
                <w:lang w:eastAsia="en-US"/>
              </w:rPr>
              <w:t xml:space="preserve">Prohibitions  </w:t>
            </w:r>
          </w:p>
          <w:p w:rsidR="00325208" w:rsidRPr="003820F1" w:rsidRDefault="00325208" w:rsidP="00325208">
            <w:pPr>
              <w:spacing w:before="120" w:after="120"/>
              <w:rPr>
                <w:rFonts w:eastAsia="Calibri" w:cs="Arial"/>
                <w:i/>
                <w:sz w:val="22"/>
                <w:szCs w:val="22"/>
                <w:lang w:eastAsia="en-US"/>
              </w:rPr>
            </w:pPr>
            <w:r w:rsidRPr="003820F1">
              <w:rPr>
                <w:rFonts w:eastAsia="Calibri" w:cs="Arial"/>
                <w:i/>
                <w:sz w:val="22"/>
                <w:szCs w:val="22"/>
                <w:lang w:eastAsia="en-US"/>
              </w:rPr>
              <w:t>Recommendations</w:t>
            </w:r>
          </w:p>
          <w:p w:rsidR="00241E8A" w:rsidRPr="00241E8A" w:rsidRDefault="00241E8A" w:rsidP="00241E8A">
            <w:pPr>
              <w:spacing w:after="120"/>
              <w:rPr>
                <w:rFonts w:eastAsia="Calibri" w:cs="Arial"/>
                <w:sz w:val="22"/>
                <w:szCs w:val="22"/>
                <w:lang w:eastAsia="en-US"/>
              </w:rPr>
            </w:pPr>
            <w:r w:rsidRPr="00241E8A">
              <w:rPr>
                <w:rFonts w:eastAsia="Calibri" w:cs="Arial"/>
                <w:sz w:val="22"/>
                <w:szCs w:val="22"/>
                <w:lang w:eastAsia="en-US"/>
              </w:rPr>
              <w:t>A tow and storage provider would not be allowed to recommend salvage yards, auto body repair shops, storage yards or garages unless they are asked by the consumer to do so. If a recommendation is given, the tow and storage provider would have to give a written statement of the benefits due to the provider, or another person as a result of making the recommendation. This written statement would have to be given no later than when the consumer is authorizing the tow, where an authorization is required. The written statement must be given as soon as practical, if an authorization is not required.</w:t>
            </w:r>
          </w:p>
          <w:p w:rsidR="00325208" w:rsidRPr="003820F1" w:rsidRDefault="00325208" w:rsidP="00325208">
            <w:pPr>
              <w:spacing w:before="120" w:after="120"/>
              <w:rPr>
                <w:rFonts w:eastAsia="Calibri" w:cs="Arial"/>
                <w:i/>
                <w:sz w:val="22"/>
                <w:szCs w:val="22"/>
                <w:lang w:eastAsia="en-US"/>
              </w:rPr>
            </w:pPr>
            <w:r w:rsidRPr="003820F1">
              <w:rPr>
                <w:rFonts w:eastAsia="Calibri" w:cs="Arial"/>
                <w:i/>
                <w:sz w:val="22"/>
                <w:szCs w:val="22"/>
                <w:lang w:eastAsia="en-US"/>
              </w:rPr>
              <w:t>Fees</w:t>
            </w:r>
          </w:p>
          <w:p w:rsidR="00A809F4" w:rsidRPr="008A09C2" w:rsidRDefault="00241E8A" w:rsidP="00241E8A">
            <w:pPr>
              <w:spacing w:after="120"/>
              <w:rPr>
                <w:rFonts w:eastAsia="Calibri" w:cs="Arial"/>
                <w:sz w:val="22"/>
                <w:szCs w:val="22"/>
                <w:lang w:eastAsia="en-US"/>
              </w:rPr>
            </w:pPr>
            <w:r w:rsidRPr="00241E8A">
              <w:rPr>
                <w:rFonts w:eastAsia="Calibri" w:cs="Arial"/>
                <w:sz w:val="22"/>
                <w:szCs w:val="22"/>
                <w:lang w:eastAsia="en-US"/>
              </w:rPr>
              <w:t>A tow and storage provider would not be allowed to charge an amount for services that is greater than what the provider usually charges, just because the tow or storage services are provided as a result of a vehicle having been impounded or otherwise detained under the authority of any other act or regulation, or municipal by-law, unless there is an agreement in place providing for terms of payment for these types of tows.</w:t>
            </w:r>
          </w:p>
        </w:tc>
      </w:tr>
      <w:tr w:rsidR="00475345" w:rsidRPr="006B4198" w:rsidTr="00CE25E8">
        <w:tc>
          <w:tcPr>
            <w:tcW w:w="9558" w:type="dxa"/>
            <w:gridSpan w:val="4"/>
            <w:shd w:val="clear" w:color="auto" w:fill="D9D9D9" w:themeFill="background1" w:themeFillShade="D9"/>
          </w:tcPr>
          <w:p w:rsidR="00475345" w:rsidRPr="008A09C2" w:rsidRDefault="00475345" w:rsidP="00325208">
            <w:pPr>
              <w:spacing w:before="60" w:after="60"/>
              <w:rPr>
                <w:rFonts w:eastAsia="Calibri" w:cs="Arial"/>
                <w:i/>
                <w:color w:val="7F7F7F"/>
                <w:sz w:val="22"/>
                <w:szCs w:val="22"/>
                <w:lang w:eastAsia="en-US"/>
              </w:rPr>
            </w:pPr>
            <w:r w:rsidRPr="008A09C2">
              <w:rPr>
                <w:rFonts w:eastAsia="Calibri" w:cs="Arial"/>
                <w:b/>
                <w:sz w:val="22"/>
                <w:szCs w:val="22"/>
                <w:lang w:eastAsia="en-US"/>
              </w:rPr>
              <w:t>Do you have any comments regarding</w:t>
            </w:r>
            <w:r w:rsidR="006953D0" w:rsidRPr="008A09C2">
              <w:rPr>
                <w:rFonts w:eastAsia="Calibri" w:cs="Arial"/>
                <w:b/>
                <w:sz w:val="22"/>
                <w:szCs w:val="22"/>
                <w:lang w:eastAsia="en-US"/>
              </w:rPr>
              <w:t xml:space="preserve"> </w:t>
            </w:r>
            <w:r w:rsidR="00325208">
              <w:rPr>
                <w:rFonts w:eastAsia="Calibri" w:cs="Arial"/>
                <w:b/>
                <w:sz w:val="22"/>
                <w:szCs w:val="22"/>
                <w:lang w:eastAsia="en-US"/>
              </w:rPr>
              <w:t>prohibitions</w:t>
            </w:r>
            <w:r w:rsidRPr="008A09C2">
              <w:rPr>
                <w:rFonts w:eastAsia="Calibri" w:cs="Arial"/>
                <w:b/>
                <w:sz w:val="22"/>
                <w:szCs w:val="22"/>
                <w:lang w:eastAsia="en-US"/>
              </w:rPr>
              <w:t>?</w:t>
            </w:r>
          </w:p>
        </w:tc>
      </w:tr>
      <w:tr w:rsidR="006B4198" w:rsidRPr="006B4198" w:rsidTr="0027324C">
        <w:tc>
          <w:tcPr>
            <w:tcW w:w="9558" w:type="dxa"/>
            <w:gridSpan w:val="4"/>
            <w:shd w:val="clear" w:color="auto" w:fill="auto"/>
          </w:tcPr>
          <w:p w:rsidR="008A09C2" w:rsidRPr="008A09C2" w:rsidRDefault="008A09C2" w:rsidP="008A09C2">
            <w:pPr>
              <w:rPr>
                <w:rFonts w:eastAsia="Calibri" w:cs="Arial"/>
                <w:i/>
                <w:color w:val="7F7F7F"/>
                <w:sz w:val="22"/>
                <w:szCs w:val="22"/>
                <w:lang w:eastAsia="en-US"/>
              </w:rPr>
            </w:pPr>
            <w:r w:rsidRPr="008A09C2">
              <w:rPr>
                <w:rFonts w:eastAsia="Calibri" w:cs="Arial"/>
                <w:i/>
                <w:color w:val="7F7F7F"/>
                <w:sz w:val="22"/>
                <w:szCs w:val="22"/>
                <w:lang w:eastAsia="en-US"/>
              </w:rPr>
              <w:t>(insert comments – if necessary the box will expand as you type)</w:t>
            </w:r>
          </w:p>
          <w:p w:rsidR="008A09C2" w:rsidRPr="008A09C2" w:rsidRDefault="008A09C2" w:rsidP="008A09C2">
            <w:pPr>
              <w:rPr>
                <w:rFonts w:eastAsia="Calibri" w:cs="Arial"/>
                <w:sz w:val="22"/>
                <w:szCs w:val="22"/>
                <w:lang w:eastAsia="en-US"/>
              </w:rPr>
            </w:pPr>
          </w:p>
          <w:p w:rsidR="006B4198" w:rsidRPr="008A09C2" w:rsidRDefault="006B4198" w:rsidP="006B4198">
            <w:pPr>
              <w:rPr>
                <w:rFonts w:eastAsia="Calibri" w:cs="Arial"/>
                <w:sz w:val="22"/>
                <w:szCs w:val="22"/>
                <w:lang w:eastAsia="en-US"/>
              </w:rPr>
            </w:pPr>
          </w:p>
        </w:tc>
      </w:tr>
      <w:tr w:rsidR="00325208" w:rsidRPr="006B4198" w:rsidTr="00325208">
        <w:tc>
          <w:tcPr>
            <w:tcW w:w="9558" w:type="dxa"/>
            <w:gridSpan w:val="4"/>
            <w:tcBorders>
              <w:bottom w:val="single" w:sz="4" w:space="0" w:color="auto"/>
            </w:tcBorders>
            <w:shd w:val="clear" w:color="auto" w:fill="DBE5F1"/>
          </w:tcPr>
          <w:p w:rsidR="00325208" w:rsidRPr="00325208" w:rsidRDefault="00325208" w:rsidP="00325208">
            <w:pPr>
              <w:spacing w:before="120"/>
              <w:rPr>
                <w:rFonts w:eastAsia="Calibri" w:cs="Arial"/>
                <w:b/>
                <w:sz w:val="22"/>
                <w:szCs w:val="22"/>
                <w:lang w:eastAsia="en-US"/>
              </w:rPr>
            </w:pPr>
            <w:r w:rsidRPr="00325208">
              <w:rPr>
                <w:rFonts w:eastAsia="Calibri" w:cs="Arial"/>
                <w:b/>
                <w:sz w:val="22"/>
                <w:szCs w:val="22"/>
                <w:lang w:eastAsia="en-US"/>
              </w:rPr>
              <w:t>Identifiers</w:t>
            </w:r>
          </w:p>
          <w:p w:rsidR="00241E8A" w:rsidRPr="00241E8A" w:rsidRDefault="00241E8A" w:rsidP="00241E8A">
            <w:pPr>
              <w:spacing w:before="120"/>
              <w:rPr>
                <w:rFonts w:eastAsia="Calibri" w:cs="Arial"/>
                <w:sz w:val="22"/>
                <w:szCs w:val="22"/>
                <w:lang w:eastAsia="en-US"/>
              </w:rPr>
            </w:pPr>
            <w:r w:rsidRPr="00241E8A">
              <w:rPr>
                <w:rFonts w:eastAsia="Calibri" w:cs="Arial"/>
                <w:sz w:val="22"/>
                <w:szCs w:val="22"/>
                <w:lang w:eastAsia="en-US"/>
              </w:rPr>
              <w:t>Tow and storage providers would be required to clearly post on both sides of every tow truck that they operate:</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The name of the provider, and if different, the name under which the provider carries on business;</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The  telephone number of the business; and</w:t>
            </w:r>
          </w:p>
          <w:p w:rsidR="00241E8A" w:rsidRPr="00241E8A" w:rsidRDefault="00241E8A" w:rsidP="00241E8A">
            <w:pPr>
              <w:pStyle w:val="ListParagraph"/>
              <w:numPr>
                <w:ilvl w:val="0"/>
                <w:numId w:val="16"/>
              </w:numPr>
              <w:spacing w:after="120"/>
              <w:contextualSpacing/>
              <w:rPr>
                <w:rFonts w:ascii="Arial" w:hAnsi="Arial" w:cs="Arial"/>
              </w:rPr>
            </w:pPr>
            <w:r w:rsidRPr="00241E8A">
              <w:rPr>
                <w:rFonts w:ascii="Arial" w:hAnsi="Arial" w:cs="Arial"/>
              </w:rPr>
              <w:t xml:space="preserve"> If applicable, </w:t>
            </w:r>
            <w:r w:rsidR="004363F6">
              <w:rPr>
                <w:rFonts w:ascii="Arial" w:hAnsi="Arial" w:cs="Arial"/>
              </w:rPr>
              <w:t xml:space="preserve">the provider’s </w:t>
            </w:r>
            <w:r w:rsidRPr="00241E8A">
              <w:rPr>
                <w:rFonts w:ascii="Arial" w:hAnsi="Arial" w:cs="Arial"/>
              </w:rPr>
              <w:t>municipal licence number.</w:t>
            </w:r>
          </w:p>
          <w:p w:rsidR="00241E8A" w:rsidRPr="00241E8A" w:rsidRDefault="00241E8A" w:rsidP="00241E8A">
            <w:pPr>
              <w:spacing w:after="120"/>
              <w:rPr>
                <w:rFonts w:eastAsia="Calibri" w:cs="Arial"/>
                <w:sz w:val="22"/>
                <w:szCs w:val="22"/>
                <w:lang w:eastAsia="en-US"/>
              </w:rPr>
            </w:pPr>
            <w:r w:rsidRPr="00241E8A">
              <w:rPr>
                <w:rFonts w:eastAsia="Calibri" w:cs="Arial"/>
                <w:sz w:val="22"/>
                <w:szCs w:val="22"/>
                <w:lang w:eastAsia="en-US"/>
              </w:rPr>
              <w:t>This information would be required to be posted at all business premises from which the</w:t>
            </w:r>
            <w:r w:rsidR="004363F6">
              <w:rPr>
                <w:rFonts w:eastAsia="Calibri" w:cs="Arial"/>
                <w:sz w:val="22"/>
                <w:szCs w:val="22"/>
                <w:lang w:eastAsia="en-US"/>
              </w:rPr>
              <w:t xml:space="preserve"> provider</w:t>
            </w:r>
            <w:r w:rsidRPr="00241E8A">
              <w:rPr>
                <w:rFonts w:eastAsia="Calibri" w:cs="Arial"/>
                <w:sz w:val="22"/>
                <w:szCs w:val="22"/>
                <w:lang w:eastAsia="en-US"/>
              </w:rPr>
              <w:t xml:space="preserve"> operate</w:t>
            </w:r>
            <w:r w:rsidR="004363F6">
              <w:rPr>
                <w:rFonts w:eastAsia="Calibri" w:cs="Arial"/>
                <w:sz w:val="22"/>
                <w:szCs w:val="22"/>
                <w:lang w:eastAsia="en-US"/>
              </w:rPr>
              <w:t>s</w:t>
            </w:r>
            <w:r w:rsidRPr="00241E8A">
              <w:rPr>
                <w:rFonts w:eastAsia="Calibri" w:cs="Arial"/>
                <w:sz w:val="22"/>
                <w:szCs w:val="22"/>
                <w:lang w:eastAsia="en-US"/>
              </w:rPr>
              <w:t>. If the tow and storage provider operates more than one tow truck, a unique number that identifies each truck would also be required to be posted.</w:t>
            </w:r>
          </w:p>
          <w:p w:rsidR="00325208" w:rsidRPr="008A09C2" w:rsidRDefault="00241E8A" w:rsidP="00241E8A">
            <w:pPr>
              <w:spacing w:after="120"/>
              <w:rPr>
                <w:rFonts w:eastAsia="Calibri" w:cs="Arial"/>
                <w:sz w:val="22"/>
                <w:szCs w:val="22"/>
                <w:lang w:eastAsia="en-US"/>
              </w:rPr>
            </w:pPr>
            <w:r w:rsidRPr="00241E8A">
              <w:rPr>
                <w:rFonts w:eastAsia="Calibri" w:cs="Arial"/>
                <w:sz w:val="22"/>
                <w:szCs w:val="22"/>
                <w:lang w:eastAsia="en-US"/>
              </w:rPr>
              <w:t>The tow and storage provider would be required to have a copy of the current statement of rates available at all business premises from which they conduct business, and on their website (if one is maintained).</w:t>
            </w:r>
          </w:p>
        </w:tc>
      </w:tr>
      <w:tr w:rsidR="00325208" w:rsidRPr="006B4198" w:rsidTr="00325208">
        <w:tc>
          <w:tcPr>
            <w:tcW w:w="9558" w:type="dxa"/>
            <w:gridSpan w:val="4"/>
            <w:tcBorders>
              <w:bottom w:val="single" w:sz="4" w:space="0" w:color="auto"/>
            </w:tcBorders>
            <w:shd w:val="clear" w:color="auto" w:fill="D9D9D9" w:themeFill="background1" w:themeFillShade="D9"/>
          </w:tcPr>
          <w:p w:rsidR="00325208" w:rsidRPr="008A09C2" w:rsidRDefault="00325208" w:rsidP="00325208">
            <w:pPr>
              <w:spacing w:before="60" w:after="60"/>
              <w:rPr>
                <w:rFonts w:eastAsia="Calibri" w:cs="Arial"/>
                <w:sz w:val="22"/>
                <w:szCs w:val="22"/>
                <w:lang w:eastAsia="en-US"/>
              </w:rPr>
            </w:pPr>
            <w:r w:rsidRPr="008A09C2">
              <w:rPr>
                <w:rFonts w:eastAsia="Calibri" w:cs="Arial"/>
                <w:b/>
                <w:sz w:val="22"/>
                <w:szCs w:val="22"/>
                <w:lang w:eastAsia="en-US"/>
              </w:rPr>
              <w:t xml:space="preserve">Do you have any comments regarding </w:t>
            </w:r>
            <w:r>
              <w:rPr>
                <w:rFonts w:eastAsia="Calibri" w:cs="Arial"/>
                <w:b/>
                <w:sz w:val="22"/>
                <w:szCs w:val="22"/>
                <w:lang w:eastAsia="en-US"/>
              </w:rPr>
              <w:t>identifiers</w:t>
            </w:r>
            <w:r w:rsidRPr="008A09C2">
              <w:rPr>
                <w:rFonts w:eastAsia="Calibri" w:cs="Arial"/>
                <w:b/>
                <w:sz w:val="22"/>
                <w:szCs w:val="22"/>
                <w:lang w:eastAsia="en-US"/>
              </w:rPr>
              <w:t>?</w:t>
            </w:r>
          </w:p>
        </w:tc>
      </w:tr>
      <w:tr w:rsidR="00325208" w:rsidRPr="006B4198" w:rsidTr="00325208">
        <w:tc>
          <w:tcPr>
            <w:tcW w:w="9558" w:type="dxa"/>
            <w:gridSpan w:val="4"/>
            <w:tcBorders>
              <w:bottom w:val="single" w:sz="4" w:space="0" w:color="auto"/>
            </w:tcBorders>
            <w:shd w:val="clear" w:color="auto" w:fill="FFFFFF" w:themeFill="background1"/>
          </w:tcPr>
          <w:p w:rsidR="00325208" w:rsidRPr="008A09C2" w:rsidRDefault="00325208" w:rsidP="00325208">
            <w:pPr>
              <w:rPr>
                <w:rFonts w:eastAsia="Calibri" w:cs="Arial"/>
                <w:i/>
                <w:color w:val="7F7F7F"/>
                <w:sz w:val="22"/>
                <w:szCs w:val="22"/>
                <w:lang w:eastAsia="en-US"/>
              </w:rPr>
            </w:pPr>
            <w:r w:rsidRPr="008A09C2">
              <w:rPr>
                <w:rFonts w:eastAsia="Calibri" w:cs="Arial"/>
                <w:i/>
                <w:color w:val="7F7F7F"/>
                <w:sz w:val="22"/>
                <w:szCs w:val="22"/>
                <w:lang w:eastAsia="en-US"/>
              </w:rPr>
              <w:t>(insert comments – if necessary the box will expand as you type)</w:t>
            </w:r>
          </w:p>
          <w:p w:rsidR="00325208" w:rsidRPr="008A09C2" w:rsidRDefault="00325208" w:rsidP="00325208">
            <w:pPr>
              <w:rPr>
                <w:rFonts w:eastAsia="Calibri" w:cs="Arial"/>
                <w:sz w:val="22"/>
                <w:szCs w:val="22"/>
                <w:lang w:eastAsia="en-US"/>
              </w:rPr>
            </w:pPr>
          </w:p>
          <w:p w:rsidR="00325208" w:rsidRPr="008A09C2" w:rsidRDefault="00325208" w:rsidP="00A809F4">
            <w:pPr>
              <w:spacing w:after="200" w:line="276" w:lineRule="auto"/>
              <w:contextualSpacing/>
              <w:rPr>
                <w:rFonts w:eastAsia="Calibri" w:cs="Arial"/>
                <w:sz w:val="22"/>
                <w:szCs w:val="22"/>
                <w:lang w:eastAsia="en-US"/>
              </w:rPr>
            </w:pPr>
          </w:p>
        </w:tc>
      </w:tr>
      <w:tr w:rsidR="006B4198" w:rsidRPr="006B4198" w:rsidTr="00CE25E8">
        <w:tc>
          <w:tcPr>
            <w:tcW w:w="9558" w:type="dxa"/>
            <w:gridSpan w:val="4"/>
            <w:tcBorders>
              <w:bottom w:val="single" w:sz="4" w:space="0" w:color="auto"/>
            </w:tcBorders>
            <w:shd w:val="clear" w:color="auto" w:fill="DBE5F1"/>
          </w:tcPr>
          <w:p w:rsidR="00325208" w:rsidRPr="00325208" w:rsidRDefault="00325208" w:rsidP="00325208">
            <w:pPr>
              <w:spacing w:before="120"/>
              <w:rPr>
                <w:rFonts w:eastAsia="Calibri" w:cs="Arial"/>
                <w:b/>
                <w:sz w:val="22"/>
                <w:szCs w:val="22"/>
                <w:lang w:eastAsia="en-US"/>
              </w:rPr>
            </w:pPr>
            <w:r w:rsidRPr="00325208">
              <w:rPr>
                <w:rFonts w:eastAsia="Calibri" w:cs="Arial"/>
                <w:b/>
                <w:sz w:val="22"/>
                <w:szCs w:val="22"/>
                <w:lang w:eastAsia="en-US"/>
              </w:rPr>
              <w:lastRenderedPageBreak/>
              <w:t>Invoice Requirements</w:t>
            </w:r>
          </w:p>
          <w:p w:rsidR="00241E8A" w:rsidRPr="00241E8A" w:rsidRDefault="00241E8A" w:rsidP="00241E8A">
            <w:pPr>
              <w:spacing w:before="120"/>
              <w:rPr>
                <w:rFonts w:eastAsia="Calibri" w:cs="Arial"/>
                <w:sz w:val="22"/>
                <w:szCs w:val="22"/>
                <w:lang w:eastAsia="en-US"/>
              </w:rPr>
            </w:pPr>
            <w:r w:rsidRPr="00241E8A">
              <w:rPr>
                <w:rFonts w:eastAsia="Calibri" w:cs="Arial"/>
                <w:sz w:val="22"/>
                <w:szCs w:val="22"/>
                <w:lang w:eastAsia="en-US"/>
              </w:rPr>
              <w:t>Tow and storage providers would be required to deliver a written invoice that contains:</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The provider’s name and, if different, the name under which the provider carries on business;</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The  telephone number of the provider;</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If the provider operates more than one tow truck, the unique number identifying the tow truck providing the services;</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The provider’s municipal business licence number, if applicable;</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The make, model, vehicle identification number and licence number of the vehicle being towed;</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The date and time when the services are provided or will be provided;</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The address of the location where the services started, the address of the location where the vehicle was towed to, the address of any stops anticipated or have occurred  in between, and if applicable the business name of each of those locations;</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A unique invoice number;</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The name of the tow truck driver; and</w:t>
            </w:r>
          </w:p>
          <w:p w:rsidR="00241E8A" w:rsidRPr="00241E8A" w:rsidRDefault="00241E8A" w:rsidP="00241E8A">
            <w:pPr>
              <w:pStyle w:val="ListParagraph"/>
              <w:numPr>
                <w:ilvl w:val="0"/>
                <w:numId w:val="16"/>
              </w:numPr>
              <w:spacing w:after="120"/>
              <w:contextualSpacing/>
              <w:rPr>
                <w:rFonts w:ascii="Arial" w:hAnsi="Arial" w:cs="Arial"/>
              </w:rPr>
            </w:pPr>
            <w:r w:rsidRPr="00241E8A">
              <w:rPr>
                <w:rFonts w:ascii="Arial" w:hAnsi="Arial" w:cs="Arial"/>
              </w:rPr>
              <w:t>An itemized list of services and the cost for each service, as well as the total cost.</w:t>
            </w:r>
          </w:p>
          <w:p w:rsidR="00A809F4" w:rsidRPr="008A09C2" w:rsidRDefault="00241E8A" w:rsidP="00241E8A">
            <w:pPr>
              <w:spacing w:after="120"/>
              <w:rPr>
                <w:rFonts w:eastAsia="Calibri" w:cs="Arial"/>
                <w:sz w:val="22"/>
                <w:szCs w:val="22"/>
                <w:lang w:eastAsia="en-US"/>
              </w:rPr>
            </w:pPr>
            <w:r w:rsidRPr="00241E8A">
              <w:rPr>
                <w:rFonts w:eastAsia="Calibri" w:cs="Arial"/>
                <w:sz w:val="22"/>
                <w:szCs w:val="22"/>
                <w:lang w:eastAsia="en-US"/>
              </w:rPr>
              <w:t>These invoice requirements would not apply in circumstances where a tow and storage provider provides tow and storage services as a result of the vehicle being impounded, detained under the authority of other laws, or otherwise lawfully seized.</w:t>
            </w:r>
          </w:p>
        </w:tc>
      </w:tr>
      <w:tr w:rsidR="00475345" w:rsidRPr="006B4198" w:rsidTr="00CE25E8">
        <w:tc>
          <w:tcPr>
            <w:tcW w:w="9558" w:type="dxa"/>
            <w:gridSpan w:val="4"/>
            <w:shd w:val="clear" w:color="auto" w:fill="D9D9D9" w:themeFill="background1" w:themeFillShade="D9"/>
          </w:tcPr>
          <w:p w:rsidR="00475345" w:rsidRPr="008A09C2" w:rsidRDefault="00475345" w:rsidP="008A09C2">
            <w:pPr>
              <w:spacing w:before="60" w:after="60"/>
              <w:rPr>
                <w:rFonts w:eastAsia="Calibri" w:cs="Arial"/>
                <w:i/>
                <w:color w:val="7F7F7F"/>
                <w:sz w:val="22"/>
                <w:szCs w:val="22"/>
                <w:lang w:eastAsia="en-US"/>
              </w:rPr>
            </w:pPr>
            <w:r w:rsidRPr="008A09C2">
              <w:rPr>
                <w:rFonts w:eastAsia="Calibri" w:cs="Arial"/>
                <w:b/>
                <w:sz w:val="22"/>
                <w:szCs w:val="22"/>
                <w:lang w:eastAsia="en-US"/>
              </w:rPr>
              <w:t>Do you have any comments regarding</w:t>
            </w:r>
            <w:r w:rsidR="006953D0" w:rsidRPr="008A09C2">
              <w:rPr>
                <w:rFonts w:eastAsia="Calibri" w:cs="Arial"/>
                <w:b/>
                <w:sz w:val="22"/>
                <w:szCs w:val="22"/>
                <w:lang w:eastAsia="en-US"/>
              </w:rPr>
              <w:t xml:space="preserve"> invoice requirements</w:t>
            </w:r>
            <w:r w:rsidRPr="008A09C2">
              <w:rPr>
                <w:rFonts w:eastAsia="Calibri" w:cs="Arial"/>
                <w:b/>
                <w:sz w:val="22"/>
                <w:szCs w:val="22"/>
                <w:lang w:eastAsia="en-US"/>
              </w:rPr>
              <w:t>?</w:t>
            </w:r>
          </w:p>
        </w:tc>
      </w:tr>
      <w:tr w:rsidR="006B4198" w:rsidRPr="006B4198" w:rsidTr="006953D0">
        <w:tc>
          <w:tcPr>
            <w:tcW w:w="9558" w:type="dxa"/>
            <w:gridSpan w:val="4"/>
            <w:tcBorders>
              <w:bottom w:val="single" w:sz="4" w:space="0" w:color="auto"/>
            </w:tcBorders>
            <w:shd w:val="clear" w:color="auto" w:fill="auto"/>
          </w:tcPr>
          <w:p w:rsidR="008A09C2" w:rsidRPr="008A09C2" w:rsidRDefault="008A09C2" w:rsidP="008A09C2">
            <w:pPr>
              <w:rPr>
                <w:rFonts w:eastAsia="Calibri" w:cs="Arial"/>
                <w:i/>
                <w:color w:val="7F7F7F"/>
                <w:sz w:val="22"/>
                <w:szCs w:val="22"/>
                <w:lang w:eastAsia="en-US"/>
              </w:rPr>
            </w:pPr>
            <w:r w:rsidRPr="008A09C2">
              <w:rPr>
                <w:rFonts w:eastAsia="Calibri" w:cs="Arial"/>
                <w:i/>
                <w:color w:val="7F7F7F"/>
                <w:sz w:val="22"/>
                <w:szCs w:val="22"/>
                <w:lang w:eastAsia="en-US"/>
              </w:rPr>
              <w:t>(insert comments – if necessary the box will expand as you type)</w:t>
            </w:r>
          </w:p>
          <w:p w:rsidR="008A09C2" w:rsidRPr="008A09C2" w:rsidRDefault="008A09C2" w:rsidP="008A09C2">
            <w:pPr>
              <w:rPr>
                <w:rFonts w:eastAsia="Calibri" w:cs="Arial"/>
                <w:sz w:val="22"/>
                <w:szCs w:val="22"/>
                <w:lang w:eastAsia="en-US"/>
              </w:rPr>
            </w:pPr>
          </w:p>
          <w:p w:rsidR="006B4198" w:rsidRPr="008A09C2" w:rsidRDefault="006B4198" w:rsidP="006B4198">
            <w:pPr>
              <w:rPr>
                <w:rFonts w:eastAsia="Calibri" w:cs="Arial"/>
                <w:sz w:val="22"/>
                <w:szCs w:val="22"/>
                <w:lang w:eastAsia="en-US"/>
              </w:rPr>
            </w:pPr>
          </w:p>
        </w:tc>
      </w:tr>
      <w:tr w:rsidR="006B4198" w:rsidRPr="006B4198" w:rsidTr="00CE25E8">
        <w:tc>
          <w:tcPr>
            <w:tcW w:w="9558" w:type="dxa"/>
            <w:gridSpan w:val="4"/>
            <w:tcBorders>
              <w:bottom w:val="single" w:sz="4" w:space="0" w:color="auto"/>
            </w:tcBorders>
            <w:shd w:val="clear" w:color="auto" w:fill="DBE5F1" w:themeFill="accent1" w:themeFillTint="33"/>
          </w:tcPr>
          <w:p w:rsidR="00642338" w:rsidRPr="00642338" w:rsidRDefault="00642338" w:rsidP="00642338">
            <w:pPr>
              <w:spacing w:before="120"/>
              <w:rPr>
                <w:rFonts w:eastAsia="Calibri" w:cs="Arial"/>
                <w:b/>
                <w:sz w:val="22"/>
                <w:szCs w:val="22"/>
                <w:lang w:eastAsia="en-US"/>
              </w:rPr>
            </w:pPr>
            <w:r w:rsidRPr="00642338">
              <w:rPr>
                <w:rFonts w:eastAsia="Calibri" w:cs="Arial"/>
                <w:b/>
                <w:sz w:val="22"/>
                <w:szCs w:val="22"/>
                <w:lang w:eastAsia="en-US"/>
              </w:rPr>
              <w:t>Insurance Requirements</w:t>
            </w:r>
          </w:p>
          <w:p w:rsidR="00241E8A" w:rsidRPr="00241E8A" w:rsidRDefault="00241E8A" w:rsidP="00241E8A">
            <w:pPr>
              <w:spacing w:before="120"/>
              <w:rPr>
                <w:rFonts w:eastAsia="Calibri" w:cs="Arial"/>
                <w:sz w:val="22"/>
                <w:szCs w:val="22"/>
                <w:lang w:eastAsia="en-US"/>
              </w:rPr>
            </w:pPr>
            <w:r w:rsidRPr="00241E8A">
              <w:rPr>
                <w:rFonts w:eastAsia="Calibri" w:cs="Arial"/>
                <w:sz w:val="22"/>
                <w:szCs w:val="22"/>
                <w:lang w:eastAsia="en-US"/>
              </w:rPr>
              <w:t>A tow and storage provider who offers tow services would be required to maintain the following insurance:</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Coverage against liability resulting from bodily injury to or the death of one or more persons and loss or damage to property, in the amount of at least $2 million exclusive of interests and costs;</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Coverage against liability for damage to a vehicle while in the provider’s care, custody or control, in the amount of at least $100,000; and</w:t>
            </w:r>
          </w:p>
          <w:p w:rsidR="00241E8A" w:rsidRPr="00241E8A" w:rsidRDefault="00241E8A" w:rsidP="00241E8A">
            <w:pPr>
              <w:pStyle w:val="ListParagraph"/>
              <w:numPr>
                <w:ilvl w:val="0"/>
                <w:numId w:val="16"/>
              </w:numPr>
              <w:spacing w:after="120"/>
              <w:contextualSpacing/>
              <w:rPr>
                <w:rFonts w:ascii="Arial" w:hAnsi="Arial" w:cs="Arial"/>
              </w:rPr>
            </w:pPr>
            <w:r w:rsidRPr="00241E8A">
              <w:rPr>
                <w:rFonts w:ascii="Arial" w:hAnsi="Arial" w:cs="Arial"/>
              </w:rPr>
              <w:t>Cargo liability insurance in the amount of at least $50,000.</w:t>
            </w:r>
          </w:p>
          <w:p w:rsidR="00A809F4" w:rsidRPr="008A09C2" w:rsidRDefault="00241E8A" w:rsidP="00241E8A">
            <w:pPr>
              <w:spacing w:after="120"/>
              <w:rPr>
                <w:rFonts w:eastAsia="Calibri" w:cs="Arial"/>
                <w:sz w:val="22"/>
                <w:szCs w:val="22"/>
                <w:lang w:eastAsia="en-US"/>
              </w:rPr>
            </w:pPr>
            <w:r w:rsidRPr="00241E8A">
              <w:rPr>
                <w:rFonts w:eastAsia="Calibri" w:cs="Arial"/>
                <w:sz w:val="22"/>
                <w:szCs w:val="22"/>
                <w:lang w:eastAsia="en-US"/>
              </w:rPr>
              <w:t>These insurance requirements would not apply in circumstances where a tow and storage provider provides tow and storage services as a result of the vehicle being impounded, detained under the authority of other laws, or otherwise lawfully seized.</w:t>
            </w:r>
          </w:p>
        </w:tc>
      </w:tr>
      <w:tr w:rsidR="00475345" w:rsidRPr="006B4198" w:rsidTr="00CE25E8">
        <w:tc>
          <w:tcPr>
            <w:tcW w:w="9558" w:type="dxa"/>
            <w:gridSpan w:val="4"/>
            <w:shd w:val="clear" w:color="auto" w:fill="D9D9D9" w:themeFill="background1" w:themeFillShade="D9"/>
          </w:tcPr>
          <w:p w:rsidR="00475345" w:rsidRPr="008A09C2" w:rsidRDefault="00475345" w:rsidP="008A09C2">
            <w:pPr>
              <w:spacing w:before="60" w:after="60"/>
              <w:rPr>
                <w:rFonts w:eastAsia="Calibri" w:cs="Arial"/>
                <w:i/>
                <w:color w:val="7F7F7F"/>
                <w:sz w:val="22"/>
                <w:szCs w:val="22"/>
                <w:lang w:eastAsia="en-US"/>
              </w:rPr>
            </w:pPr>
            <w:r w:rsidRPr="008A09C2">
              <w:rPr>
                <w:rFonts w:eastAsia="Calibri" w:cs="Arial"/>
                <w:b/>
                <w:sz w:val="22"/>
                <w:szCs w:val="22"/>
                <w:lang w:eastAsia="en-US"/>
              </w:rPr>
              <w:t>Do you have any comments regarding</w:t>
            </w:r>
            <w:r w:rsidR="006953D0" w:rsidRPr="008A09C2">
              <w:rPr>
                <w:rFonts w:eastAsia="Calibri" w:cs="Arial"/>
                <w:b/>
                <w:sz w:val="22"/>
                <w:szCs w:val="22"/>
                <w:lang w:eastAsia="en-US"/>
              </w:rPr>
              <w:t xml:space="preserve"> insurance requirements</w:t>
            </w:r>
            <w:r w:rsidRPr="008A09C2">
              <w:rPr>
                <w:rFonts w:eastAsia="Calibri" w:cs="Arial"/>
                <w:b/>
                <w:sz w:val="22"/>
                <w:szCs w:val="22"/>
                <w:lang w:eastAsia="en-US"/>
              </w:rPr>
              <w:t>?</w:t>
            </w:r>
          </w:p>
        </w:tc>
      </w:tr>
      <w:tr w:rsidR="006B4198" w:rsidRPr="006B4198" w:rsidTr="006953D0">
        <w:tc>
          <w:tcPr>
            <w:tcW w:w="9558" w:type="dxa"/>
            <w:gridSpan w:val="4"/>
            <w:tcBorders>
              <w:bottom w:val="single" w:sz="4" w:space="0" w:color="auto"/>
            </w:tcBorders>
            <w:shd w:val="clear" w:color="auto" w:fill="auto"/>
          </w:tcPr>
          <w:p w:rsidR="008A09C2" w:rsidRPr="008A09C2" w:rsidRDefault="008A09C2" w:rsidP="008A09C2">
            <w:pPr>
              <w:rPr>
                <w:rFonts w:eastAsia="Calibri" w:cs="Arial"/>
                <w:i/>
                <w:color w:val="7F7F7F"/>
                <w:sz w:val="22"/>
                <w:szCs w:val="22"/>
                <w:lang w:eastAsia="en-US"/>
              </w:rPr>
            </w:pPr>
            <w:r w:rsidRPr="008A09C2">
              <w:rPr>
                <w:rFonts w:eastAsia="Calibri" w:cs="Arial"/>
                <w:i/>
                <w:color w:val="7F7F7F"/>
                <w:sz w:val="22"/>
                <w:szCs w:val="22"/>
                <w:lang w:eastAsia="en-US"/>
              </w:rPr>
              <w:t>(insert comments – if necessary the box will expand as you type)</w:t>
            </w:r>
          </w:p>
          <w:p w:rsidR="008A09C2" w:rsidRPr="008A09C2" w:rsidRDefault="008A09C2" w:rsidP="008A09C2">
            <w:pPr>
              <w:rPr>
                <w:rFonts w:eastAsia="Calibri" w:cs="Arial"/>
                <w:sz w:val="22"/>
                <w:szCs w:val="22"/>
                <w:lang w:eastAsia="en-US"/>
              </w:rPr>
            </w:pPr>
          </w:p>
          <w:p w:rsidR="006B4198" w:rsidRPr="008A09C2" w:rsidRDefault="006B4198" w:rsidP="006B4198">
            <w:pPr>
              <w:rPr>
                <w:rFonts w:eastAsia="Calibri" w:cs="Arial"/>
                <w:color w:val="7F7F7F"/>
                <w:sz w:val="22"/>
                <w:szCs w:val="22"/>
                <w:lang w:eastAsia="en-US"/>
              </w:rPr>
            </w:pPr>
          </w:p>
        </w:tc>
      </w:tr>
      <w:tr w:rsidR="006953D0" w:rsidRPr="006B4198" w:rsidTr="00CE25E8">
        <w:tc>
          <w:tcPr>
            <w:tcW w:w="9558" w:type="dxa"/>
            <w:gridSpan w:val="4"/>
            <w:tcBorders>
              <w:bottom w:val="single" w:sz="4" w:space="0" w:color="auto"/>
            </w:tcBorders>
            <w:shd w:val="clear" w:color="auto" w:fill="DBE5F1" w:themeFill="accent1" w:themeFillTint="33"/>
          </w:tcPr>
          <w:p w:rsidR="00642338" w:rsidRPr="00642338" w:rsidRDefault="00642338" w:rsidP="00642338">
            <w:pPr>
              <w:spacing w:before="120"/>
              <w:rPr>
                <w:rFonts w:eastAsia="Calibri" w:cs="Arial"/>
                <w:b/>
                <w:sz w:val="22"/>
                <w:szCs w:val="22"/>
                <w:lang w:eastAsia="en-US"/>
              </w:rPr>
            </w:pPr>
            <w:r w:rsidRPr="00642338">
              <w:rPr>
                <w:rFonts w:eastAsia="Calibri" w:cs="Arial"/>
                <w:b/>
                <w:sz w:val="22"/>
                <w:szCs w:val="22"/>
                <w:lang w:eastAsia="en-US"/>
              </w:rPr>
              <w:t>Access to Vehicle</w:t>
            </w:r>
          </w:p>
          <w:p w:rsidR="00241E8A" w:rsidRPr="00241E8A" w:rsidRDefault="00241E8A" w:rsidP="00241E8A">
            <w:pPr>
              <w:spacing w:before="120" w:after="120"/>
              <w:rPr>
                <w:rFonts w:eastAsia="Calibri" w:cs="Arial"/>
                <w:sz w:val="22"/>
                <w:szCs w:val="22"/>
                <w:lang w:eastAsia="en-US"/>
              </w:rPr>
            </w:pPr>
            <w:r w:rsidRPr="00241E8A">
              <w:rPr>
                <w:rFonts w:eastAsia="Calibri" w:cs="Arial"/>
                <w:sz w:val="22"/>
                <w:szCs w:val="22"/>
                <w:lang w:eastAsia="en-US"/>
              </w:rPr>
              <w:t xml:space="preserve">Tow and storage providers would have to give a consumer whose vehicle is towed or stored, or a person acting on their behalf, access to the vehicle without charge to remove all property contained in the vehicle belonging to or in the care of the consumer. This could include money, documents and records. A tow and storage provider shall not retain anything that a consumer is entitled to remove to pressure the consumer into making a payment under the agreement for tow and storage services. </w:t>
            </w:r>
          </w:p>
          <w:p w:rsidR="00241E8A" w:rsidRPr="00241E8A" w:rsidRDefault="00241E8A" w:rsidP="00241E8A">
            <w:pPr>
              <w:spacing w:after="120"/>
              <w:rPr>
                <w:rFonts w:eastAsia="Calibri" w:cs="Arial"/>
                <w:sz w:val="22"/>
                <w:szCs w:val="22"/>
                <w:lang w:eastAsia="en-US"/>
              </w:rPr>
            </w:pPr>
            <w:r w:rsidRPr="00241E8A">
              <w:rPr>
                <w:rFonts w:eastAsia="Calibri" w:cs="Arial"/>
                <w:sz w:val="22"/>
                <w:szCs w:val="22"/>
                <w:lang w:eastAsia="en-US"/>
              </w:rPr>
              <w:t xml:space="preserve">Access shall be provided from 9:00am to 6:00pm from Monday to Friday at the location where </w:t>
            </w:r>
            <w:r w:rsidRPr="00241E8A">
              <w:rPr>
                <w:rFonts w:eastAsia="Calibri" w:cs="Arial"/>
                <w:sz w:val="22"/>
                <w:szCs w:val="22"/>
                <w:lang w:eastAsia="en-US"/>
              </w:rPr>
              <w:lastRenderedPageBreak/>
              <w:t xml:space="preserve">the vehicle is stored. A reasonable fee can be charged for access outside those times. </w:t>
            </w:r>
          </w:p>
          <w:p w:rsidR="00A809F4" w:rsidRPr="008A09C2" w:rsidRDefault="00241E8A" w:rsidP="00241E8A">
            <w:pPr>
              <w:spacing w:after="120"/>
              <w:rPr>
                <w:rFonts w:eastAsia="Calibri" w:cs="Arial"/>
                <w:sz w:val="22"/>
                <w:szCs w:val="22"/>
                <w:lang w:eastAsia="en-US"/>
              </w:rPr>
            </w:pPr>
            <w:r w:rsidRPr="00241E8A">
              <w:rPr>
                <w:rFonts w:eastAsia="Calibri" w:cs="Arial"/>
                <w:sz w:val="22"/>
                <w:szCs w:val="22"/>
                <w:lang w:eastAsia="en-US"/>
              </w:rPr>
              <w:t>These access provisions would not apply in circumstances where a tow and storage provider provides tow and storage services as a result of the vehicle being impounded, detained under the authority of other laws, or otherwise lawfully seized.</w:t>
            </w:r>
          </w:p>
        </w:tc>
      </w:tr>
      <w:tr w:rsidR="006953D0" w:rsidRPr="006B4198" w:rsidTr="00CE25E8">
        <w:tc>
          <w:tcPr>
            <w:tcW w:w="9558" w:type="dxa"/>
            <w:gridSpan w:val="4"/>
            <w:shd w:val="clear" w:color="auto" w:fill="D9D9D9" w:themeFill="background1" w:themeFillShade="D9"/>
          </w:tcPr>
          <w:p w:rsidR="006953D0" w:rsidRPr="008A09C2" w:rsidRDefault="006953D0" w:rsidP="00642338">
            <w:pPr>
              <w:spacing w:before="60" w:after="60"/>
              <w:rPr>
                <w:rFonts w:eastAsia="Calibri" w:cs="Arial"/>
                <w:i/>
                <w:color w:val="7F7F7F"/>
                <w:sz w:val="22"/>
                <w:szCs w:val="22"/>
                <w:lang w:eastAsia="en-US"/>
              </w:rPr>
            </w:pPr>
            <w:r w:rsidRPr="008A09C2">
              <w:rPr>
                <w:rFonts w:eastAsia="Calibri" w:cs="Arial"/>
                <w:b/>
                <w:sz w:val="22"/>
                <w:szCs w:val="22"/>
                <w:lang w:eastAsia="en-US"/>
              </w:rPr>
              <w:lastRenderedPageBreak/>
              <w:t xml:space="preserve">Do you have any comments regarding </w:t>
            </w:r>
            <w:r w:rsidR="00642338">
              <w:rPr>
                <w:rFonts w:eastAsia="Calibri" w:cs="Arial"/>
                <w:b/>
                <w:sz w:val="22"/>
                <w:szCs w:val="22"/>
                <w:lang w:eastAsia="en-US"/>
              </w:rPr>
              <w:t>access to the vehicle</w:t>
            </w:r>
            <w:r w:rsidRPr="008A09C2">
              <w:rPr>
                <w:rFonts w:eastAsia="Calibri" w:cs="Arial"/>
                <w:b/>
                <w:sz w:val="22"/>
                <w:szCs w:val="22"/>
                <w:lang w:eastAsia="en-US"/>
              </w:rPr>
              <w:t>?</w:t>
            </w:r>
          </w:p>
        </w:tc>
      </w:tr>
      <w:tr w:rsidR="006953D0" w:rsidRPr="006B4198" w:rsidTr="006953D0">
        <w:tc>
          <w:tcPr>
            <w:tcW w:w="9558" w:type="dxa"/>
            <w:gridSpan w:val="4"/>
            <w:tcBorders>
              <w:bottom w:val="single" w:sz="4" w:space="0" w:color="auto"/>
            </w:tcBorders>
            <w:shd w:val="clear" w:color="auto" w:fill="auto"/>
          </w:tcPr>
          <w:p w:rsidR="008A09C2" w:rsidRPr="008A09C2" w:rsidRDefault="008A09C2" w:rsidP="008A09C2">
            <w:pPr>
              <w:rPr>
                <w:rFonts w:eastAsia="Calibri" w:cs="Arial"/>
                <w:i/>
                <w:color w:val="7F7F7F"/>
                <w:sz w:val="22"/>
                <w:szCs w:val="22"/>
                <w:lang w:eastAsia="en-US"/>
              </w:rPr>
            </w:pPr>
            <w:r w:rsidRPr="008A09C2">
              <w:rPr>
                <w:rFonts w:eastAsia="Calibri" w:cs="Arial"/>
                <w:i/>
                <w:color w:val="7F7F7F"/>
                <w:sz w:val="22"/>
                <w:szCs w:val="22"/>
                <w:lang w:eastAsia="en-US"/>
              </w:rPr>
              <w:t>(insert comments – if necessary the box will expand as you type)</w:t>
            </w:r>
          </w:p>
          <w:p w:rsidR="008A09C2" w:rsidRPr="008A09C2" w:rsidRDefault="008A09C2" w:rsidP="008A09C2">
            <w:pPr>
              <w:rPr>
                <w:rFonts w:eastAsia="Calibri" w:cs="Arial"/>
                <w:sz w:val="22"/>
                <w:szCs w:val="22"/>
                <w:lang w:eastAsia="en-US"/>
              </w:rPr>
            </w:pPr>
          </w:p>
          <w:p w:rsidR="00CE25E8" w:rsidRPr="008A09C2" w:rsidRDefault="00CE25E8" w:rsidP="006B4198">
            <w:pPr>
              <w:rPr>
                <w:rFonts w:eastAsia="Calibri" w:cs="Arial"/>
                <w:color w:val="7F7F7F"/>
                <w:sz w:val="22"/>
                <w:szCs w:val="22"/>
                <w:lang w:eastAsia="en-US"/>
              </w:rPr>
            </w:pPr>
          </w:p>
        </w:tc>
      </w:tr>
      <w:tr w:rsidR="006953D0" w:rsidRPr="006B4198" w:rsidTr="00CE25E8">
        <w:tc>
          <w:tcPr>
            <w:tcW w:w="9558" w:type="dxa"/>
            <w:gridSpan w:val="4"/>
            <w:tcBorders>
              <w:bottom w:val="single" w:sz="4" w:space="0" w:color="auto"/>
            </w:tcBorders>
            <w:shd w:val="clear" w:color="auto" w:fill="DBE5F1" w:themeFill="accent1" w:themeFillTint="33"/>
          </w:tcPr>
          <w:p w:rsidR="00642338" w:rsidRPr="00642338" w:rsidRDefault="00642338" w:rsidP="00642338">
            <w:pPr>
              <w:spacing w:before="120"/>
              <w:rPr>
                <w:rFonts w:eastAsia="Calibri" w:cs="Arial"/>
                <w:b/>
                <w:sz w:val="22"/>
                <w:szCs w:val="22"/>
                <w:lang w:eastAsia="en-US"/>
              </w:rPr>
            </w:pPr>
            <w:r w:rsidRPr="00642338">
              <w:rPr>
                <w:rFonts w:eastAsia="Calibri" w:cs="Arial"/>
                <w:b/>
                <w:sz w:val="22"/>
                <w:szCs w:val="22"/>
                <w:lang w:eastAsia="en-US"/>
              </w:rPr>
              <w:t xml:space="preserve">Determination of Fair Value </w:t>
            </w:r>
          </w:p>
          <w:p w:rsidR="00241E8A" w:rsidRPr="00241E8A" w:rsidRDefault="00241E8A" w:rsidP="00241E8A">
            <w:pPr>
              <w:spacing w:before="120"/>
              <w:rPr>
                <w:rFonts w:eastAsia="Calibri" w:cs="Arial"/>
                <w:sz w:val="22"/>
                <w:szCs w:val="22"/>
                <w:lang w:eastAsia="en-US"/>
              </w:rPr>
            </w:pPr>
            <w:r w:rsidRPr="00241E8A">
              <w:rPr>
                <w:rFonts w:eastAsia="Calibri" w:cs="Arial"/>
                <w:sz w:val="22"/>
                <w:szCs w:val="22"/>
                <w:lang w:eastAsia="en-US"/>
              </w:rPr>
              <w:t xml:space="preserve">To determine the fair value of the repair or part of a repair of a vehicle, it is proposed that the following factors shall be considered and may be included in calculating the fair value amount: </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The repairer’s fixed costs, variable costs, direct costs and indirect costs;</w:t>
            </w:r>
          </w:p>
          <w:p w:rsidR="00241E8A" w:rsidRPr="00241E8A" w:rsidRDefault="00241E8A" w:rsidP="00241E8A">
            <w:pPr>
              <w:pStyle w:val="ListParagraph"/>
              <w:numPr>
                <w:ilvl w:val="0"/>
                <w:numId w:val="16"/>
              </w:numPr>
              <w:contextualSpacing/>
              <w:rPr>
                <w:rFonts w:ascii="Arial" w:hAnsi="Arial" w:cs="Arial"/>
              </w:rPr>
            </w:pPr>
            <w:r w:rsidRPr="00241E8A">
              <w:rPr>
                <w:rFonts w:ascii="Arial" w:hAnsi="Arial" w:cs="Arial"/>
              </w:rPr>
              <w:t>The repairer’s profit; and</w:t>
            </w:r>
          </w:p>
          <w:p w:rsidR="00241E8A" w:rsidRPr="00241E8A" w:rsidRDefault="00241E8A" w:rsidP="00241E8A">
            <w:pPr>
              <w:pStyle w:val="ListParagraph"/>
              <w:numPr>
                <w:ilvl w:val="0"/>
                <w:numId w:val="16"/>
              </w:numPr>
              <w:spacing w:after="120"/>
              <w:contextualSpacing/>
              <w:rPr>
                <w:rFonts w:ascii="Arial" w:hAnsi="Arial" w:cs="Arial"/>
              </w:rPr>
            </w:pPr>
            <w:r w:rsidRPr="00241E8A">
              <w:rPr>
                <w:rFonts w:ascii="Arial" w:hAnsi="Arial" w:cs="Arial"/>
              </w:rPr>
              <w:t>Other relevant factors.</w:t>
            </w:r>
          </w:p>
          <w:p w:rsidR="00A809F4" w:rsidRPr="00642338" w:rsidRDefault="00241E8A" w:rsidP="00241E8A">
            <w:pPr>
              <w:spacing w:after="120"/>
              <w:rPr>
                <w:rFonts w:eastAsia="Calibri" w:cs="Arial"/>
                <w:sz w:val="22"/>
                <w:szCs w:val="22"/>
                <w:lang w:eastAsia="en-US"/>
              </w:rPr>
            </w:pPr>
            <w:r w:rsidRPr="00241E8A">
              <w:rPr>
                <w:rFonts w:eastAsia="Calibri" w:cs="Arial"/>
                <w:sz w:val="22"/>
                <w:szCs w:val="22"/>
                <w:lang w:eastAsia="en-US"/>
              </w:rPr>
              <w:t xml:space="preserve">To determine the fair value of storage, storage and repair, or storage and part of a repair of a vehicle, it is proposed that certain factors would continue to be included, such as expenses related to insurance and labour, and all lawful claims for money advanced in relation to the vehicle. This reflects the current rules, under the RSLA, that require that those amounts be included in determining fair value. The proposed amendments would add additional factors that shall be considered and that may be included in calculating the fair value amount. These additional factors are the </w:t>
            </w:r>
            <w:proofErr w:type="spellStart"/>
            <w:r w:rsidRPr="00241E8A">
              <w:rPr>
                <w:rFonts w:eastAsia="Calibri" w:cs="Arial"/>
                <w:sz w:val="22"/>
                <w:szCs w:val="22"/>
                <w:lang w:eastAsia="en-US"/>
              </w:rPr>
              <w:t>storer’s</w:t>
            </w:r>
            <w:proofErr w:type="spellEnd"/>
            <w:r w:rsidRPr="00241E8A">
              <w:rPr>
                <w:rFonts w:eastAsia="Calibri" w:cs="Arial"/>
                <w:sz w:val="22"/>
                <w:szCs w:val="22"/>
                <w:lang w:eastAsia="en-US"/>
              </w:rPr>
              <w:t xml:space="preserve"> fixed costs, variable costs, direct costs and indirect costs, as well as the </w:t>
            </w:r>
            <w:proofErr w:type="spellStart"/>
            <w:r w:rsidRPr="00241E8A">
              <w:rPr>
                <w:rFonts w:eastAsia="Calibri" w:cs="Arial"/>
                <w:sz w:val="22"/>
                <w:szCs w:val="22"/>
                <w:lang w:eastAsia="en-US"/>
              </w:rPr>
              <w:t>storer’s</w:t>
            </w:r>
            <w:proofErr w:type="spellEnd"/>
            <w:r w:rsidRPr="00241E8A">
              <w:rPr>
                <w:rFonts w:eastAsia="Calibri" w:cs="Arial"/>
                <w:sz w:val="22"/>
                <w:szCs w:val="22"/>
                <w:lang w:eastAsia="en-US"/>
              </w:rPr>
              <w:t xml:space="preserve"> profit and any other relevant factors.</w:t>
            </w:r>
          </w:p>
        </w:tc>
      </w:tr>
      <w:tr w:rsidR="006953D0" w:rsidRPr="006B4198" w:rsidTr="00CE25E8">
        <w:tc>
          <w:tcPr>
            <w:tcW w:w="9558" w:type="dxa"/>
            <w:gridSpan w:val="4"/>
            <w:shd w:val="clear" w:color="auto" w:fill="D9D9D9" w:themeFill="background1" w:themeFillShade="D9"/>
          </w:tcPr>
          <w:p w:rsidR="006953D0" w:rsidRPr="008A09C2" w:rsidRDefault="006953D0" w:rsidP="00642338">
            <w:pPr>
              <w:spacing w:before="60" w:after="60"/>
              <w:rPr>
                <w:rFonts w:eastAsia="Calibri" w:cs="Arial"/>
                <w:i/>
                <w:color w:val="7F7F7F"/>
                <w:sz w:val="22"/>
                <w:szCs w:val="22"/>
                <w:lang w:eastAsia="en-US"/>
              </w:rPr>
            </w:pPr>
            <w:r w:rsidRPr="008A09C2">
              <w:rPr>
                <w:rFonts w:eastAsia="Calibri" w:cs="Arial"/>
                <w:b/>
                <w:sz w:val="22"/>
                <w:szCs w:val="22"/>
                <w:lang w:eastAsia="en-US"/>
              </w:rPr>
              <w:t xml:space="preserve">Do you have any comments regarding </w:t>
            </w:r>
            <w:r w:rsidR="00642338">
              <w:rPr>
                <w:rFonts w:eastAsia="Calibri" w:cs="Arial"/>
                <w:b/>
                <w:sz w:val="22"/>
                <w:szCs w:val="22"/>
                <w:lang w:eastAsia="en-US"/>
              </w:rPr>
              <w:t>the determination of fair value</w:t>
            </w:r>
            <w:r w:rsidRPr="008A09C2">
              <w:rPr>
                <w:rFonts w:eastAsia="Calibri" w:cs="Arial"/>
                <w:b/>
                <w:sz w:val="22"/>
                <w:szCs w:val="22"/>
                <w:lang w:eastAsia="en-US"/>
              </w:rPr>
              <w:t>?</w:t>
            </w:r>
          </w:p>
        </w:tc>
      </w:tr>
      <w:tr w:rsidR="006953D0" w:rsidRPr="006B4198" w:rsidTr="006953D0">
        <w:tc>
          <w:tcPr>
            <w:tcW w:w="9558" w:type="dxa"/>
            <w:gridSpan w:val="4"/>
            <w:tcBorders>
              <w:bottom w:val="single" w:sz="4" w:space="0" w:color="auto"/>
            </w:tcBorders>
            <w:shd w:val="clear" w:color="auto" w:fill="auto"/>
          </w:tcPr>
          <w:p w:rsidR="008A09C2" w:rsidRPr="008A09C2" w:rsidRDefault="008A09C2" w:rsidP="008A09C2">
            <w:pPr>
              <w:rPr>
                <w:rFonts w:eastAsia="Calibri" w:cs="Arial"/>
                <w:i/>
                <w:color w:val="7F7F7F"/>
                <w:sz w:val="22"/>
                <w:szCs w:val="22"/>
                <w:lang w:eastAsia="en-US"/>
              </w:rPr>
            </w:pPr>
            <w:r w:rsidRPr="008A09C2">
              <w:rPr>
                <w:rFonts w:eastAsia="Calibri" w:cs="Arial"/>
                <w:i/>
                <w:color w:val="7F7F7F"/>
                <w:sz w:val="22"/>
                <w:szCs w:val="22"/>
                <w:lang w:eastAsia="en-US"/>
              </w:rPr>
              <w:t>(insert comments – if necessary the box will expand as you type)</w:t>
            </w:r>
          </w:p>
          <w:p w:rsidR="008A09C2" w:rsidRPr="008A09C2" w:rsidRDefault="008A09C2" w:rsidP="008A09C2">
            <w:pPr>
              <w:rPr>
                <w:rFonts w:eastAsia="Calibri" w:cs="Arial"/>
                <w:sz w:val="22"/>
                <w:szCs w:val="22"/>
                <w:lang w:eastAsia="en-US"/>
              </w:rPr>
            </w:pPr>
          </w:p>
          <w:p w:rsidR="00CE25E8" w:rsidRPr="008A09C2" w:rsidRDefault="00CE25E8" w:rsidP="006953D0">
            <w:pPr>
              <w:rPr>
                <w:rFonts w:eastAsia="Calibri" w:cs="Arial"/>
                <w:color w:val="7F7F7F"/>
                <w:sz w:val="22"/>
                <w:szCs w:val="22"/>
                <w:lang w:eastAsia="en-US"/>
              </w:rPr>
            </w:pPr>
          </w:p>
        </w:tc>
      </w:tr>
      <w:tr w:rsidR="006953D0" w:rsidRPr="006B4198" w:rsidTr="00CE25E8">
        <w:tc>
          <w:tcPr>
            <w:tcW w:w="9558" w:type="dxa"/>
            <w:gridSpan w:val="4"/>
            <w:tcBorders>
              <w:bottom w:val="single" w:sz="4" w:space="0" w:color="auto"/>
            </w:tcBorders>
            <w:shd w:val="clear" w:color="auto" w:fill="DBE5F1" w:themeFill="accent1" w:themeFillTint="33"/>
          </w:tcPr>
          <w:p w:rsidR="00642338" w:rsidRPr="00642338" w:rsidRDefault="006953D0" w:rsidP="00642338">
            <w:pPr>
              <w:spacing w:before="120"/>
              <w:rPr>
                <w:rFonts w:eastAsia="Calibri" w:cs="Arial"/>
                <w:b/>
                <w:sz w:val="22"/>
                <w:szCs w:val="22"/>
                <w:lang w:eastAsia="en-US"/>
              </w:rPr>
            </w:pPr>
            <w:r w:rsidRPr="00642338">
              <w:rPr>
                <w:rFonts w:eastAsia="Calibri" w:cs="Arial"/>
                <w:b/>
                <w:sz w:val="22"/>
                <w:szCs w:val="22"/>
                <w:lang w:eastAsia="en-US"/>
              </w:rPr>
              <w:t xml:space="preserve"> </w:t>
            </w:r>
            <w:r w:rsidR="00642338" w:rsidRPr="00642338">
              <w:rPr>
                <w:rFonts w:eastAsia="Calibri" w:cs="Arial"/>
                <w:b/>
                <w:sz w:val="22"/>
                <w:szCs w:val="22"/>
                <w:lang w:eastAsia="en-US"/>
              </w:rPr>
              <w:t>Notice</w:t>
            </w:r>
          </w:p>
          <w:p w:rsidR="00241E8A" w:rsidRPr="00241E8A" w:rsidRDefault="00241E8A" w:rsidP="00241E8A">
            <w:pPr>
              <w:spacing w:before="120"/>
              <w:rPr>
                <w:rFonts w:eastAsia="Calibri" w:cs="Arial"/>
                <w:sz w:val="22"/>
                <w:szCs w:val="22"/>
                <w:lang w:eastAsia="en-US"/>
              </w:rPr>
            </w:pPr>
            <w:r w:rsidRPr="00241E8A">
              <w:rPr>
                <w:rFonts w:eastAsia="Calibri" w:cs="Arial"/>
                <w:sz w:val="22"/>
                <w:szCs w:val="22"/>
                <w:lang w:eastAsia="en-US"/>
              </w:rPr>
              <w:t xml:space="preserve">A </w:t>
            </w:r>
            <w:proofErr w:type="spellStart"/>
            <w:r w:rsidRPr="00241E8A">
              <w:rPr>
                <w:rFonts w:eastAsia="Calibri" w:cs="Arial"/>
                <w:sz w:val="22"/>
                <w:szCs w:val="22"/>
                <w:lang w:eastAsia="en-US"/>
              </w:rPr>
              <w:t>storer</w:t>
            </w:r>
            <w:proofErr w:type="spellEnd"/>
            <w:r w:rsidRPr="00241E8A">
              <w:rPr>
                <w:rFonts w:eastAsia="Calibri" w:cs="Arial"/>
                <w:sz w:val="22"/>
                <w:szCs w:val="22"/>
                <w:lang w:eastAsia="en-US"/>
              </w:rPr>
              <w:t xml:space="preserve"> currently has 60 days after the day it receives a vehicle, to inform the owners and other interested persons of the lien, where a </w:t>
            </w:r>
            <w:proofErr w:type="spellStart"/>
            <w:r w:rsidRPr="00241E8A">
              <w:rPr>
                <w:rFonts w:eastAsia="Calibri" w:cs="Arial"/>
                <w:sz w:val="22"/>
                <w:szCs w:val="22"/>
                <w:lang w:eastAsia="en-US"/>
              </w:rPr>
              <w:t>storer</w:t>
            </w:r>
            <w:proofErr w:type="spellEnd"/>
            <w:r w:rsidRPr="00241E8A">
              <w:rPr>
                <w:rFonts w:eastAsia="Calibri" w:cs="Arial"/>
                <w:sz w:val="22"/>
                <w:szCs w:val="22"/>
                <w:lang w:eastAsia="en-US"/>
              </w:rPr>
              <w:t xml:space="preserve"> knows or has reason to believe that the motor vehicle was received from a person other than the owner or a person having the owner’s authority. It is proposed that the 60-day notice period be shortened to 15 days whe</w:t>
            </w:r>
            <w:r w:rsidR="004363F6">
              <w:rPr>
                <w:rFonts w:eastAsia="Calibri" w:cs="Arial"/>
                <w:sz w:val="22"/>
                <w:szCs w:val="22"/>
                <w:lang w:eastAsia="en-US"/>
              </w:rPr>
              <w:t>n</w:t>
            </w:r>
            <w:r w:rsidRPr="00241E8A">
              <w:rPr>
                <w:rFonts w:eastAsia="Calibri" w:cs="Arial"/>
                <w:sz w:val="22"/>
                <w:szCs w:val="22"/>
                <w:lang w:eastAsia="en-US"/>
              </w:rPr>
              <w:t xml:space="preserve"> the motor vehicle is registered in Ontario.</w:t>
            </w:r>
          </w:p>
          <w:p w:rsidR="00241E8A" w:rsidRPr="00241E8A" w:rsidRDefault="00241E8A" w:rsidP="00241E8A">
            <w:pPr>
              <w:spacing w:before="120"/>
              <w:rPr>
                <w:rFonts w:eastAsia="Calibri" w:cs="Arial"/>
                <w:sz w:val="22"/>
                <w:szCs w:val="22"/>
                <w:lang w:eastAsia="en-US"/>
              </w:rPr>
            </w:pPr>
            <w:r w:rsidRPr="00241E8A">
              <w:rPr>
                <w:rFonts w:eastAsia="Calibri" w:cs="Arial"/>
                <w:sz w:val="22"/>
                <w:szCs w:val="22"/>
                <w:lang w:eastAsia="en-US"/>
              </w:rPr>
              <w:t xml:space="preserve">The notice period would remain 60 days for vehicles registered in another province or country. </w:t>
            </w:r>
          </w:p>
          <w:p w:rsidR="00241E8A" w:rsidRPr="00241E8A" w:rsidRDefault="00241E8A" w:rsidP="00241E8A">
            <w:pPr>
              <w:spacing w:before="120"/>
              <w:rPr>
                <w:rFonts w:eastAsia="Calibri" w:cs="Arial"/>
                <w:sz w:val="22"/>
                <w:szCs w:val="22"/>
                <w:lang w:eastAsia="en-US"/>
              </w:rPr>
            </w:pPr>
            <w:r w:rsidRPr="00241E8A">
              <w:rPr>
                <w:rFonts w:eastAsia="Calibri" w:cs="Arial"/>
                <w:sz w:val="22"/>
                <w:szCs w:val="22"/>
                <w:lang w:eastAsia="en-US"/>
              </w:rPr>
              <w:t xml:space="preserve">Proposed amendments would provide that where documents are required to be or may be given under the </w:t>
            </w:r>
            <w:proofErr w:type="gramStart"/>
            <w:r w:rsidRPr="00241E8A">
              <w:rPr>
                <w:rFonts w:eastAsia="Calibri" w:cs="Arial"/>
                <w:sz w:val="22"/>
                <w:szCs w:val="22"/>
                <w:lang w:eastAsia="en-US"/>
              </w:rPr>
              <w:t>RSLA,</w:t>
            </w:r>
            <w:proofErr w:type="gramEnd"/>
            <w:r w:rsidRPr="00241E8A">
              <w:rPr>
                <w:rFonts w:eastAsia="Calibri" w:cs="Arial"/>
                <w:sz w:val="22"/>
                <w:szCs w:val="22"/>
                <w:lang w:eastAsia="en-US"/>
              </w:rPr>
              <w:t xml:space="preserve"> they can be sent electronically or faxed. This would be in addition to the methods identified currently in the RSLA, such as by delivering the document personally or by certified or registered mail.</w:t>
            </w:r>
          </w:p>
          <w:p w:rsidR="00A809F4" w:rsidRPr="00642338" w:rsidRDefault="00241E8A" w:rsidP="00241E8A">
            <w:pPr>
              <w:spacing w:before="120" w:after="120"/>
              <w:rPr>
                <w:rFonts w:eastAsia="Calibri" w:cs="Arial"/>
                <w:sz w:val="22"/>
                <w:szCs w:val="22"/>
                <w:lang w:eastAsia="en-US"/>
              </w:rPr>
            </w:pPr>
            <w:r w:rsidRPr="00241E8A">
              <w:rPr>
                <w:rFonts w:eastAsia="Calibri" w:cs="Arial"/>
                <w:sz w:val="22"/>
                <w:szCs w:val="22"/>
                <w:lang w:eastAsia="en-US"/>
              </w:rPr>
              <w:t>No lien arises for tow and storage services that are subject to the Consumer Protection Act, unless the provisions regarding disclosure, authorization, invoicing, insurance and disclosure of an interest has been complied with. For example, if an authorization to tow is required and none is obtained, no lien would arise for that unauthorized tow service.</w:t>
            </w:r>
          </w:p>
        </w:tc>
      </w:tr>
      <w:tr w:rsidR="006953D0" w:rsidRPr="006B4198" w:rsidTr="00CE25E8">
        <w:tc>
          <w:tcPr>
            <w:tcW w:w="9558" w:type="dxa"/>
            <w:gridSpan w:val="4"/>
            <w:shd w:val="clear" w:color="auto" w:fill="D9D9D9" w:themeFill="background1" w:themeFillShade="D9"/>
          </w:tcPr>
          <w:p w:rsidR="006953D0" w:rsidRPr="008A09C2" w:rsidRDefault="006953D0" w:rsidP="00642338">
            <w:pPr>
              <w:spacing w:before="60" w:after="60"/>
              <w:rPr>
                <w:rFonts w:eastAsia="Calibri" w:cs="Arial"/>
                <w:i/>
                <w:color w:val="7F7F7F"/>
                <w:sz w:val="22"/>
                <w:szCs w:val="22"/>
                <w:lang w:eastAsia="en-US"/>
              </w:rPr>
            </w:pPr>
            <w:r w:rsidRPr="008A09C2">
              <w:rPr>
                <w:rFonts w:eastAsia="Calibri" w:cs="Arial"/>
                <w:b/>
                <w:sz w:val="22"/>
                <w:szCs w:val="22"/>
                <w:lang w:eastAsia="en-US"/>
              </w:rPr>
              <w:t xml:space="preserve">Do you have any comments regarding </w:t>
            </w:r>
            <w:r w:rsidR="00642338">
              <w:rPr>
                <w:rFonts w:eastAsia="Calibri" w:cs="Arial"/>
                <w:b/>
                <w:sz w:val="22"/>
                <w:szCs w:val="22"/>
                <w:lang w:eastAsia="en-US"/>
              </w:rPr>
              <w:t>notice</w:t>
            </w:r>
            <w:r w:rsidRPr="008A09C2">
              <w:rPr>
                <w:rFonts w:eastAsia="Calibri" w:cs="Arial"/>
                <w:b/>
                <w:sz w:val="22"/>
                <w:szCs w:val="22"/>
                <w:lang w:eastAsia="en-US"/>
              </w:rPr>
              <w:t>?</w:t>
            </w:r>
          </w:p>
        </w:tc>
      </w:tr>
      <w:tr w:rsidR="006953D0" w:rsidRPr="006B4198" w:rsidTr="00CE25E8">
        <w:tc>
          <w:tcPr>
            <w:tcW w:w="9558" w:type="dxa"/>
            <w:gridSpan w:val="4"/>
            <w:tcBorders>
              <w:bottom w:val="single" w:sz="4" w:space="0" w:color="auto"/>
            </w:tcBorders>
            <w:shd w:val="clear" w:color="auto" w:fill="auto"/>
          </w:tcPr>
          <w:p w:rsidR="008A09C2" w:rsidRPr="008A09C2" w:rsidRDefault="008A09C2" w:rsidP="008A09C2">
            <w:pPr>
              <w:rPr>
                <w:rFonts w:eastAsia="Calibri" w:cs="Arial"/>
                <w:i/>
                <w:color w:val="7F7F7F"/>
                <w:sz w:val="22"/>
                <w:szCs w:val="22"/>
                <w:lang w:eastAsia="en-US"/>
              </w:rPr>
            </w:pPr>
            <w:r w:rsidRPr="008A09C2">
              <w:rPr>
                <w:rFonts w:eastAsia="Calibri" w:cs="Arial"/>
                <w:i/>
                <w:color w:val="7F7F7F"/>
                <w:sz w:val="22"/>
                <w:szCs w:val="22"/>
                <w:lang w:eastAsia="en-US"/>
              </w:rPr>
              <w:t>(insert comments – if necessary the box will expand as you type)</w:t>
            </w:r>
          </w:p>
          <w:p w:rsidR="008A09C2" w:rsidRPr="008A09C2" w:rsidRDefault="008A09C2" w:rsidP="008A09C2">
            <w:pPr>
              <w:rPr>
                <w:rFonts w:eastAsia="Calibri" w:cs="Arial"/>
                <w:sz w:val="22"/>
                <w:szCs w:val="22"/>
                <w:lang w:eastAsia="en-US"/>
              </w:rPr>
            </w:pPr>
          </w:p>
          <w:p w:rsidR="00CE25E8" w:rsidRPr="008A09C2" w:rsidRDefault="00CE25E8" w:rsidP="006953D0">
            <w:pPr>
              <w:rPr>
                <w:rFonts w:eastAsia="Calibri" w:cs="Arial"/>
                <w:color w:val="7F7F7F"/>
                <w:sz w:val="22"/>
                <w:szCs w:val="22"/>
                <w:lang w:eastAsia="en-US"/>
              </w:rPr>
            </w:pPr>
          </w:p>
        </w:tc>
      </w:tr>
      <w:tr w:rsidR="006B4198" w:rsidRPr="006B4198" w:rsidTr="00CE25E8">
        <w:tc>
          <w:tcPr>
            <w:tcW w:w="9558" w:type="dxa"/>
            <w:gridSpan w:val="4"/>
            <w:shd w:val="clear" w:color="auto" w:fill="D9D9D9" w:themeFill="background1" w:themeFillShade="D9"/>
          </w:tcPr>
          <w:p w:rsidR="006B4198" w:rsidRPr="008A09C2" w:rsidRDefault="006B4198" w:rsidP="008A09C2">
            <w:pPr>
              <w:spacing w:before="60" w:after="60"/>
              <w:rPr>
                <w:rFonts w:eastAsia="Calibri" w:cs="Arial"/>
                <w:sz w:val="22"/>
                <w:szCs w:val="22"/>
                <w:lang w:val="en-US" w:eastAsia="en-US"/>
              </w:rPr>
            </w:pPr>
            <w:r w:rsidRPr="008A09C2">
              <w:rPr>
                <w:rFonts w:eastAsia="Calibri" w:cs="Arial"/>
                <w:b/>
                <w:sz w:val="22"/>
                <w:szCs w:val="22"/>
                <w:lang w:eastAsia="en-US"/>
              </w:rPr>
              <w:t>We are interested in any other comments or suggestions you wish to make.</w:t>
            </w:r>
          </w:p>
        </w:tc>
      </w:tr>
      <w:tr w:rsidR="006B4198" w:rsidRPr="006B4198" w:rsidTr="0027324C">
        <w:tc>
          <w:tcPr>
            <w:tcW w:w="9558" w:type="dxa"/>
            <w:gridSpan w:val="4"/>
            <w:shd w:val="clear" w:color="auto" w:fill="auto"/>
          </w:tcPr>
          <w:p w:rsidR="008A09C2" w:rsidRPr="008A09C2" w:rsidRDefault="008A09C2" w:rsidP="008A09C2">
            <w:pPr>
              <w:rPr>
                <w:rFonts w:eastAsia="Calibri" w:cs="Arial"/>
                <w:i/>
                <w:color w:val="7F7F7F"/>
                <w:sz w:val="22"/>
                <w:szCs w:val="22"/>
                <w:lang w:eastAsia="en-US"/>
              </w:rPr>
            </w:pPr>
            <w:r w:rsidRPr="008A09C2">
              <w:rPr>
                <w:rFonts w:eastAsia="Calibri" w:cs="Arial"/>
                <w:i/>
                <w:color w:val="7F7F7F"/>
                <w:sz w:val="22"/>
                <w:szCs w:val="22"/>
                <w:lang w:eastAsia="en-US"/>
              </w:rPr>
              <w:t>(insert comments – if necessary the box will expand as you type)</w:t>
            </w:r>
          </w:p>
          <w:p w:rsidR="008A09C2" w:rsidRPr="008A09C2" w:rsidRDefault="008A09C2" w:rsidP="008A09C2">
            <w:pPr>
              <w:rPr>
                <w:rFonts w:eastAsia="Calibri" w:cs="Arial"/>
                <w:sz w:val="22"/>
                <w:szCs w:val="22"/>
                <w:lang w:eastAsia="en-US"/>
              </w:rPr>
            </w:pPr>
          </w:p>
          <w:p w:rsidR="006B4198" w:rsidRPr="008A09C2" w:rsidRDefault="006B4198" w:rsidP="006B4198">
            <w:pPr>
              <w:rPr>
                <w:rFonts w:eastAsia="Calibri" w:cs="Arial"/>
                <w:color w:val="7F7F7F"/>
                <w:sz w:val="22"/>
                <w:szCs w:val="22"/>
                <w:lang w:eastAsia="en-US"/>
              </w:rPr>
            </w:pPr>
          </w:p>
        </w:tc>
      </w:tr>
      <w:tr w:rsidR="006B4198" w:rsidRPr="006B4198" w:rsidTr="0027324C">
        <w:trPr>
          <w:trHeight w:val="3860"/>
        </w:trPr>
        <w:tc>
          <w:tcPr>
            <w:tcW w:w="9558" w:type="dxa"/>
            <w:gridSpan w:val="4"/>
            <w:shd w:val="clear" w:color="auto" w:fill="548DD4"/>
          </w:tcPr>
          <w:p w:rsidR="006B4198" w:rsidRPr="00475345" w:rsidRDefault="006B4198" w:rsidP="00CE25E8">
            <w:pPr>
              <w:spacing w:before="120"/>
              <w:jc w:val="center"/>
              <w:rPr>
                <w:rFonts w:eastAsia="Calibri" w:cs="Arial"/>
                <w:b/>
                <w:color w:val="FFFFFF"/>
                <w:sz w:val="22"/>
                <w:szCs w:val="22"/>
                <w:lang w:eastAsia="en-US"/>
              </w:rPr>
            </w:pPr>
            <w:r w:rsidRPr="00475345">
              <w:rPr>
                <w:rFonts w:eastAsia="Calibri" w:cs="Arial"/>
                <w:b/>
                <w:color w:val="FFFFFF"/>
                <w:sz w:val="22"/>
                <w:szCs w:val="22"/>
                <w:lang w:eastAsia="en-US"/>
              </w:rPr>
              <w:lastRenderedPageBreak/>
              <w:t xml:space="preserve">Send Feedback </w:t>
            </w:r>
            <w:r w:rsidRPr="00475345">
              <w:rPr>
                <w:rFonts w:eastAsia="Calibri" w:cs="Arial"/>
                <w:b/>
                <w:color w:val="FFFFFF" w:themeColor="background1"/>
                <w:sz w:val="22"/>
                <w:szCs w:val="22"/>
                <w:lang w:eastAsia="en-US"/>
              </w:rPr>
              <w:t xml:space="preserve">to </w:t>
            </w:r>
            <w:hyperlink r:id="rId21" w:history="1">
              <w:r w:rsidR="00DF68F3" w:rsidRPr="00475345">
                <w:rPr>
                  <w:rStyle w:val="Hyperlink"/>
                  <w:rFonts w:eastAsia="Calibri" w:cs="Arial"/>
                  <w:b/>
                  <w:color w:val="FFFFFF" w:themeColor="background1"/>
                  <w:sz w:val="22"/>
                  <w:szCs w:val="22"/>
                  <w:lang w:eastAsia="en-US"/>
                </w:rPr>
                <w:t>towingandstorage@ontario.ca</w:t>
              </w:r>
            </w:hyperlink>
            <w:r w:rsidR="00DF68F3" w:rsidRPr="00475345">
              <w:rPr>
                <w:rFonts w:eastAsia="Calibri" w:cs="Arial"/>
                <w:b/>
                <w:color w:val="FFFFFF" w:themeColor="background1"/>
                <w:sz w:val="22"/>
                <w:szCs w:val="22"/>
                <w:lang w:eastAsia="en-US"/>
              </w:rPr>
              <w:t xml:space="preserve"> </w:t>
            </w:r>
            <w:r w:rsidRPr="00475345">
              <w:rPr>
                <w:rFonts w:eastAsia="Calibri" w:cs="Arial"/>
                <w:b/>
                <w:color w:val="FFFFFF" w:themeColor="background1"/>
                <w:sz w:val="22"/>
                <w:szCs w:val="22"/>
                <w:lang w:eastAsia="en-US"/>
              </w:rPr>
              <w:t xml:space="preserve">by </w:t>
            </w:r>
            <w:r w:rsidR="00A32E67">
              <w:rPr>
                <w:rFonts w:eastAsia="Calibri" w:cs="Arial"/>
                <w:b/>
                <w:color w:val="FFFFFF" w:themeColor="background1"/>
                <w:sz w:val="22"/>
                <w:szCs w:val="22"/>
                <w:lang w:eastAsia="en-US"/>
              </w:rPr>
              <w:t xml:space="preserve">October </w:t>
            </w:r>
            <w:r w:rsidR="00DA39B5">
              <w:rPr>
                <w:rFonts w:eastAsia="Calibri" w:cs="Arial"/>
                <w:b/>
                <w:color w:val="FFFFFF" w:themeColor="background1"/>
                <w:sz w:val="22"/>
                <w:szCs w:val="22"/>
                <w:lang w:eastAsia="en-US"/>
              </w:rPr>
              <w:t>30</w:t>
            </w:r>
            <w:r w:rsidR="00A32E67">
              <w:rPr>
                <w:rFonts w:eastAsia="Calibri" w:cs="Arial"/>
                <w:b/>
                <w:color w:val="FFFFFF" w:themeColor="background1"/>
                <w:sz w:val="22"/>
                <w:szCs w:val="22"/>
                <w:lang w:eastAsia="en-US"/>
              </w:rPr>
              <w:t>, 2015</w:t>
            </w:r>
          </w:p>
          <w:p w:rsidR="006B4198" w:rsidRPr="006B4198" w:rsidRDefault="006B4198" w:rsidP="006B4198">
            <w:pPr>
              <w:jc w:val="center"/>
              <w:rPr>
                <w:rFonts w:ascii="Calibri" w:eastAsia="Calibri" w:hAnsi="Calibri"/>
                <w:b/>
                <w:color w:val="FFFFFF"/>
                <w:sz w:val="22"/>
                <w:szCs w:val="22"/>
                <w:lang w:eastAsia="en-US"/>
              </w:rPr>
            </w:pPr>
          </w:p>
          <w:p w:rsidR="006B4198" w:rsidRPr="006B4198" w:rsidRDefault="006B4198" w:rsidP="006B4198">
            <w:pPr>
              <w:rPr>
                <w:rFonts w:eastAsia="Calibri" w:cs="Arial"/>
                <w:b/>
                <w:bCs/>
                <w:i/>
                <w:iCs/>
                <w:color w:val="FFFFFF"/>
                <w:sz w:val="18"/>
                <w:szCs w:val="18"/>
                <w:lang w:eastAsia="en-US"/>
              </w:rPr>
            </w:pPr>
            <w:r w:rsidRPr="006B4198">
              <w:rPr>
                <w:rFonts w:eastAsia="Calibri" w:cs="Arial"/>
                <w:b/>
                <w:bCs/>
                <w:i/>
                <w:iCs/>
                <w:color w:val="FFFFFF"/>
                <w:sz w:val="18"/>
                <w:szCs w:val="18"/>
                <w:lang w:eastAsia="en-US"/>
              </w:rPr>
              <w:t>Privacy Statement</w:t>
            </w:r>
          </w:p>
          <w:p w:rsidR="006B4198" w:rsidRPr="006B4198" w:rsidRDefault="006B4198" w:rsidP="006B4198">
            <w:pPr>
              <w:autoSpaceDE w:val="0"/>
              <w:autoSpaceDN w:val="0"/>
              <w:adjustRightInd w:val="0"/>
              <w:rPr>
                <w:rFonts w:eastAsia="Calibri" w:cs="Arial"/>
                <w:color w:val="FFFFFF"/>
                <w:sz w:val="18"/>
                <w:szCs w:val="18"/>
                <w:lang w:eastAsia="en-US"/>
              </w:rPr>
            </w:pPr>
          </w:p>
          <w:p w:rsidR="008C54CA" w:rsidRDefault="008C54CA" w:rsidP="008C54CA">
            <w:pPr>
              <w:rPr>
                <w:rFonts w:ascii="Arial Narrow" w:hAnsi="Arial Narrow"/>
                <w:sz w:val="18"/>
                <w:szCs w:val="18"/>
              </w:rPr>
            </w:pPr>
            <w:r>
              <w:rPr>
                <w:rFonts w:ascii="Arial Narrow" w:hAnsi="Arial Narrow"/>
                <w:sz w:val="18"/>
                <w:szCs w:val="18"/>
              </w:rPr>
              <w:t>Please note that unless requested and agreed otherwise by the Ministry of Government and Consumer Services, all materials or comments received from organizations in response to this consultation will be considered public information and may be used and disclosed by the ministry to assist the ministry in</w:t>
            </w:r>
            <w:r>
              <w:rPr>
                <w:rFonts w:ascii="Arial Narrow" w:hAnsi="Arial Narrow"/>
                <w:color w:val="1F497D"/>
                <w:sz w:val="18"/>
                <w:szCs w:val="18"/>
              </w:rPr>
              <w:t xml:space="preserve"> </w:t>
            </w:r>
            <w:r w:rsidRPr="008C54CA">
              <w:rPr>
                <w:rFonts w:ascii="Arial Narrow" w:hAnsi="Arial Narrow"/>
                <w:sz w:val="18"/>
                <w:szCs w:val="18"/>
              </w:rPr>
              <w:t>d</w:t>
            </w:r>
            <w:r>
              <w:rPr>
                <w:rFonts w:ascii="Arial Narrow" w:hAnsi="Arial Narrow"/>
                <w:sz w:val="18"/>
                <w:szCs w:val="18"/>
              </w:rPr>
              <w:t xml:space="preserve">eveloping </w:t>
            </w:r>
            <w:r w:rsidRPr="008C54CA">
              <w:rPr>
                <w:rFonts w:ascii="Arial Narrow" w:hAnsi="Arial Narrow"/>
                <w:sz w:val="18"/>
                <w:szCs w:val="18"/>
              </w:rPr>
              <w:t xml:space="preserve">the </w:t>
            </w:r>
            <w:r>
              <w:rPr>
                <w:rFonts w:ascii="Arial Narrow" w:hAnsi="Arial Narrow"/>
                <w:sz w:val="18"/>
                <w:szCs w:val="18"/>
              </w:rPr>
              <w:t xml:space="preserve">proposed regulatory amendments. This may involve disclosing materials or comments, or summaries of them, to other interested parties during and after the request for public comment process.  </w:t>
            </w:r>
          </w:p>
          <w:p w:rsidR="008C54CA" w:rsidRDefault="008C54CA" w:rsidP="008C54CA">
            <w:pPr>
              <w:rPr>
                <w:rFonts w:ascii="Arial Narrow" w:hAnsi="Arial Narrow"/>
                <w:sz w:val="18"/>
                <w:szCs w:val="18"/>
              </w:rPr>
            </w:pPr>
          </w:p>
          <w:p w:rsidR="008C54CA" w:rsidRDefault="008C54CA" w:rsidP="008C54CA">
            <w:pPr>
              <w:rPr>
                <w:rFonts w:ascii="Arial Narrow" w:hAnsi="Arial Narrow"/>
                <w:sz w:val="18"/>
                <w:szCs w:val="18"/>
              </w:rPr>
            </w:pPr>
            <w:r>
              <w:rPr>
                <w:rFonts w:ascii="Arial Narrow" w:hAnsi="Arial Narrow"/>
                <w:sz w:val="18"/>
                <w:szCs w:val="18"/>
              </w:rPr>
              <w:t xml:space="preserve">An individual who provides materials or comments and who indicates an affiliation with an organization will be considered to have submitted those comments or materials on behalf of the organization so identified. Materials or comments received from individuals who do not indicate an affiliation with an organization will not be considered public information unless expressly stated otherwise by the individual. However, materials or comments </w:t>
            </w:r>
            <w:r w:rsidRPr="008C54CA">
              <w:rPr>
                <w:rFonts w:ascii="Arial Narrow" w:hAnsi="Arial Narrow"/>
                <w:sz w:val="18"/>
                <w:szCs w:val="18"/>
              </w:rPr>
              <w:t>fr</w:t>
            </w:r>
            <w:r>
              <w:rPr>
                <w:rFonts w:ascii="Arial Narrow" w:hAnsi="Arial Narrow"/>
                <w:sz w:val="18"/>
                <w:szCs w:val="18"/>
              </w:rPr>
              <w:t>om</w:t>
            </w:r>
            <w:r>
              <w:rPr>
                <w:rFonts w:ascii="Arial Narrow" w:hAnsi="Arial Narrow"/>
                <w:color w:val="FF0000"/>
                <w:sz w:val="18"/>
                <w:szCs w:val="18"/>
              </w:rPr>
              <w:t xml:space="preserve"> </w:t>
            </w:r>
            <w:r>
              <w:rPr>
                <w:rFonts w:ascii="Arial Narrow" w:hAnsi="Arial Narrow"/>
                <w:sz w:val="18"/>
                <w:szCs w:val="18"/>
              </w:rPr>
              <w:t>individuals may be used and disclosed by the ministry to assist in developing</w:t>
            </w:r>
            <w:r w:rsidRPr="008C54CA">
              <w:rPr>
                <w:rFonts w:ascii="Arial Narrow" w:hAnsi="Arial Narrow"/>
                <w:sz w:val="18"/>
                <w:szCs w:val="18"/>
              </w:rPr>
              <w:t xml:space="preserve"> </w:t>
            </w:r>
            <w:r>
              <w:rPr>
                <w:rFonts w:ascii="Arial Narrow" w:hAnsi="Arial Narrow"/>
                <w:sz w:val="18"/>
                <w:szCs w:val="18"/>
              </w:rPr>
              <w:t xml:space="preserve">the proposed regulatory amendments. </w:t>
            </w:r>
          </w:p>
          <w:p w:rsidR="008C54CA" w:rsidRDefault="008C54CA" w:rsidP="008C54CA">
            <w:pPr>
              <w:rPr>
                <w:rFonts w:ascii="Arial Narrow" w:hAnsi="Arial Narrow"/>
                <w:sz w:val="18"/>
                <w:szCs w:val="18"/>
              </w:rPr>
            </w:pPr>
          </w:p>
          <w:p w:rsidR="008C54CA" w:rsidRDefault="008C54CA" w:rsidP="008C54CA">
            <w:pPr>
              <w:rPr>
                <w:rFonts w:ascii="Arial Narrow" w:hAnsi="Arial Narrow"/>
                <w:sz w:val="18"/>
                <w:szCs w:val="18"/>
              </w:rPr>
            </w:pPr>
            <w:r>
              <w:rPr>
                <w:rFonts w:ascii="Arial Narrow" w:hAnsi="Arial Narrow"/>
                <w:sz w:val="18"/>
                <w:szCs w:val="18"/>
              </w:rPr>
              <w:t xml:space="preserve">Personal information of those who do not specify an organizational affiliation, such as an individual's name and contact details, will not be disclosed by the ministry without the individual’s consent unless required by law. If you have any questions about the collection of this information, please contact Melissa Martin at </w:t>
            </w:r>
            <w:hyperlink r:id="rId22" w:history="1">
              <w:r w:rsidR="008E2F2C" w:rsidRPr="00997F1B">
                <w:rPr>
                  <w:rStyle w:val="Hyperlink"/>
                  <w:rFonts w:ascii="Arial Narrow" w:hAnsi="Arial Narrow"/>
                  <w:sz w:val="18"/>
                  <w:szCs w:val="18"/>
                </w:rPr>
                <w:t>Melissa.martin2@ontario.ca</w:t>
              </w:r>
            </w:hyperlink>
            <w:r>
              <w:rPr>
                <w:rFonts w:ascii="Arial Narrow" w:hAnsi="Arial Narrow"/>
                <w:sz w:val="18"/>
                <w:szCs w:val="18"/>
              </w:rPr>
              <w:t>.</w:t>
            </w:r>
          </w:p>
          <w:p w:rsidR="006B4198" w:rsidRPr="006B4198" w:rsidRDefault="006B4198" w:rsidP="006B4198">
            <w:pPr>
              <w:rPr>
                <w:rFonts w:ascii="Calibri" w:eastAsia="Calibri" w:hAnsi="Calibri"/>
                <w:b/>
                <w:sz w:val="22"/>
                <w:szCs w:val="22"/>
                <w:lang w:eastAsia="en-US"/>
              </w:rPr>
            </w:pPr>
          </w:p>
        </w:tc>
      </w:tr>
    </w:tbl>
    <w:p w:rsidR="006B4198" w:rsidRPr="00BC41DB" w:rsidRDefault="006B4198" w:rsidP="008C54CA">
      <w:pPr>
        <w:spacing w:after="200" w:line="276" w:lineRule="auto"/>
        <w:rPr>
          <w:rFonts w:asciiTheme="minorHAnsi" w:eastAsiaTheme="minorHAnsi" w:hAnsiTheme="minorHAnsi" w:cstheme="minorBidi"/>
          <w:lang w:eastAsia="en-US"/>
        </w:rPr>
      </w:pPr>
    </w:p>
    <w:sectPr w:rsidR="006B4198" w:rsidRPr="00BC41DB" w:rsidSect="0027324C">
      <w:footerReference w:type="default" r:id="rId23"/>
      <w:footerReference w:type="first" r:id="rId24"/>
      <w:pgSz w:w="12240" w:h="15840"/>
      <w:pgMar w:top="990" w:right="1170" w:bottom="27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F6" w:rsidRDefault="004363F6" w:rsidP="004C2771">
      <w:r>
        <w:separator/>
      </w:r>
    </w:p>
  </w:endnote>
  <w:endnote w:type="continuationSeparator" w:id="0">
    <w:p w:rsidR="004363F6" w:rsidRDefault="004363F6" w:rsidP="004C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1)">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0" w:rsidRDefault="00376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0" w:rsidRDefault="003764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0" w:rsidRDefault="003764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F6" w:rsidRDefault="004363F6">
    <w:pPr>
      <w:pStyle w:val="Footer"/>
      <w:pBdr>
        <w:bottom w:val="single" w:sz="12" w:space="1" w:color="auto"/>
      </w:pBdr>
      <w:rPr>
        <w:i/>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F6" w:rsidRDefault="004363F6">
    <w:pPr>
      <w:pStyle w:val="Footer"/>
      <w:pBdr>
        <w:bottom w:val="single" w:sz="12" w:space="1" w:color="auto"/>
      </w:pBdr>
      <w:rPr>
        <w:i/>
        <w:sz w:val="20"/>
        <w:szCs w:val="20"/>
      </w:rPr>
    </w:pPr>
  </w:p>
  <w:p w:rsidR="004363F6" w:rsidRDefault="004363F6">
    <w:pPr>
      <w:pStyle w:val="Footer"/>
      <w:rPr>
        <w:i/>
        <w:sz w:val="20"/>
        <w:szCs w:val="20"/>
      </w:rPr>
    </w:pPr>
    <w:r>
      <w:rPr>
        <w:i/>
        <w:sz w:val="20"/>
        <w:szCs w:val="20"/>
      </w:rPr>
      <w:t>Confidential MSBCS Minister’s Decision Note</w:t>
    </w:r>
    <w:r>
      <w:rPr>
        <w:i/>
        <w:sz w:val="20"/>
        <w:szCs w:val="20"/>
      </w:rPr>
      <w:tab/>
    </w:r>
    <w:r>
      <w:rPr>
        <w:i/>
        <w:sz w:val="20"/>
        <w:szCs w:val="20"/>
      </w:rPr>
      <w:tab/>
      <w:t xml:space="preserve">Page </w:t>
    </w:r>
    <w:r>
      <w:rPr>
        <w:i/>
        <w:sz w:val="20"/>
        <w:szCs w:val="20"/>
      </w:rPr>
      <w:fldChar w:fldCharType="begin"/>
    </w:r>
    <w:r>
      <w:rPr>
        <w:i/>
        <w:sz w:val="20"/>
        <w:szCs w:val="20"/>
      </w:rPr>
      <w:instrText xml:space="preserve"> PAGE </w:instrText>
    </w:r>
    <w:r>
      <w:rPr>
        <w:i/>
        <w:sz w:val="20"/>
        <w:szCs w:val="20"/>
      </w:rPr>
      <w:fldChar w:fldCharType="separate"/>
    </w:r>
    <w:r>
      <w:rPr>
        <w:i/>
        <w:noProof/>
        <w:sz w:val="20"/>
        <w:szCs w:val="20"/>
      </w:rPr>
      <w:t>1</w:t>
    </w:r>
    <w:r>
      <w:rPr>
        <w:i/>
        <w:sz w:val="20"/>
        <w:szCs w:val="20"/>
      </w:rPr>
      <w:fldChar w:fldCharType="end"/>
    </w:r>
    <w:r>
      <w:rPr>
        <w:i/>
        <w:sz w:val="20"/>
        <w:szCs w:val="20"/>
      </w:rPr>
      <w:t xml:space="preserve"> of </w:t>
    </w:r>
    <w:r>
      <w:rPr>
        <w:i/>
        <w:sz w:val="20"/>
        <w:szCs w:val="20"/>
      </w:rPr>
      <w:fldChar w:fldCharType="begin"/>
    </w:r>
    <w:r>
      <w:rPr>
        <w:i/>
        <w:sz w:val="20"/>
        <w:szCs w:val="20"/>
      </w:rPr>
      <w:instrText xml:space="preserve"> NUMPAGES </w:instrText>
    </w:r>
    <w:r>
      <w:rPr>
        <w:i/>
        <w:sz w:val="20"/>
        <w:szCs w:val="20"/>
      </w:rPr>
      <w:fldChar w:fldCharType="separate"/>
    </w:r>
    <w:r w:rsidR="007E083E">
      <w:rPr>
        <w:i/>
        <w:noProof/>
        <w:sz w:val="20"/>
        <w:szCs w:val="20"/>
      </w:rPr>
      <w:t>8</w:t>
    </w:r>
    <w:r>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F6" w:rsidRDefault="004363F6" w:rsidP="004C2771">
      <w:r>
        <w:separator/>
      </w:r>
    </w:p>
  </w:footnote>
  <w:footnote w:type="continuationSeparator" w:id="0">
    <w:p w:rsidR="004363F6" w:rsidRDefault="004363F6" w:rsidP="004C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0" w:rsidRDefault="00376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F6" w:rsidRDefault="00436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0" w:rsidRDefault="00376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1F7"/>
    <w:multiLevelType w:val="hybridMultilevel"/>
    <w:tmpl w:val="C8E0DE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2D366B1"/>
    <w:multiLevelType w:val="hybridMultilevel"/>
    <w:tmpl w:val="9260FBCC"/>
    <w:lvl w:ilvl="0" w:tplc="6186AA0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2E47B9D"/>
    <w:multiLevelType w:val="hybridMultilevel"/>
    <w:tmpl w:val="2D3A5C42"/>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3">
    <w:nsid w:val="15A101B3"/>
    <w:multiLevelType w:val="hybridMultilevel"/>
    <w:tmpl w:val="D75A2D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50D0D29"/>
    <w:multiLevelType w:val="hybridMultilevel"/>
    <w:tmpl w:val="0FAA34FE"/>
    <w:lvl w:ilvl="0" w:tplc="81E84932">
      <w:start w:val="1"/>
      <w:numFmt w:val="lowerLetter"/>
      <w:lvlText w:val="(%1)"/>
      <w:lvlJc w:val="left"/>
      <w:pPr>
        <w:ind w:left="1350" w:hanging="360"/>
      </w:pPr>
      <w:rPr>
        <w:rFonts w:hint="default"/>
        <w:b/>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5">
    <w:nsid w:val="31E42C31"/>
    <w:multiLevelType w:val="multilevel"/>
    <w:tmpl w:val="D8D04A76"/>
    <w:lvl w:ilvl="0">
      <w:start w:val="1"/>
      <w:numFmt w:val="decimal"/>
      <w:lvlText w:val="%1."/>
      <w:lvlJc w:val="left"/>
      <w:pPr>
        <w:ind w:left="720" w:hanging="360"/>
      </w:pPr>
      <w:rPr>
        <w:rFonts w:hint="default"/>
        <w:b/>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E783DA0"/>
    <w:multiLevelType w:val="hybridMultilevel"/>
    <w:tmpl w:val="970AC6D0"/>
    <w:lvl w:ilvl="0" w:tplc="CE564230">
      <w:start w:val="4"/>
      <w:numFmt w:val="decimal"/>
      <w:lvlText w:val="%1."/>
      <w:lvlJc w:val="left"/>
      <w:pPr>
        <w:tabs>
          <w:tab w:val="num" w:pos="1080"/>
        </w:tabs>
        <w:ind w:left="1080" w:hanging="360"/>
      </w:pPr>
    </w:lvl>
    <w:lvl w:ilvl="1" w:tplc="95D8ED50">
      <w:start w:val="1"/>
      <w:numFmt w:val="bullet"/>
      <w:lvlText w:val="•"/>
      <w:lvlJc w:val="left"/>
      <w:pPr>
        <w:tabs>
          <w:tab w:val="num" w:pos="1800"/>
        </w:tabs>
        <w:ind w:left="1800" w:hanging="360"/>
      </w:pPr>
      <w:rPr>
        <w:rFonts w:ascii="Times New Roman" w:hAnsi="Times New Roman" w:cs="Times New Roman" w:hint="default"/>
      </w:rPr>
    </w:lvl>
    <w:lvl w:ilvl="2" w:tplc="DB5E349C">
      <w:start w:val="1"/>
      <w:numFmt w:val="bullet"/>
      <w:lvlText w:val="•"/>
      <w:lvlJc w:val="left"/>
      <w:pPr>
        <w:tabs>
          <w:tab w:val="num" w:pos="2520"/>
        </w:tabs>
        <w:ind w:left="2520" w:hanging="360"/>
      </w:pPr>
      <w:rPr>
        <w:rFonts w:ascii="Times New Roman" w:hAnsi="Times New Roman" w:cs="Times New Roman" w:hint="default"/>
      </w:rPr>
    </w:lvl>
    <w:lvl w:ilvl="3" w:tplc="9FDC5828">
      <w:start w:val="1"/>
      <w:numFmt w:val="bullet"/>
      <w:lvlText w:val="•"/>
      <w:lvlJc w:val="left"/>
      <w:pPr>
        <w:tabs>
          <w:tab w:val="num" w:pos="3240"/>
        </w:tabs>
        <w:ind w:left="3240" w:hanging="360"/>
      </w:pPr>
      <w:rPr>
        <w:rFonts w:ascii="Times New Roman" w:hAnsi="Times New Roman" w:cs="Times New Roman" w:hint="default"/>
      </w:rPr>
    </w:lvl>
    <w:lvl w:ilvl="4" w:tplc="78D02C4A">
      <w:start w:val="1"/>
      <w:numFmt w:val="bullet"/>
      <w:lvlText w:val="•"/>
      <w:lvlJc w:val="left"/>
      <w:pPr>
        <w:tabs>
          <w:tab w:val="num" w:pos="3960"/>
        </w:tabs>
        <w:ind w:left="3960" w:hanging="360"/>
      </w:pPr>
      <w:rPr>
        <w:rFonts w:ascii="Times New Roman" w:hAnsi="Times New Roman" w:cs="Times New Roman" w:hint="default"/>
      </w:rPr>
    </w:lvl>
    <w:lvl w:ilvl="5" w:tplc="990CD002">
      <w:start w:val="1"/>
      <w:numFmt w:val="bullet"/>
      <w:lvlText w:val="•"/>
      <w:lvlJc w:val="left"/>
      <w:pPr>
        <w:tabs>
          <w:tab w:val="num" w:pos="4680"/>
        </w:tabs>
        <w:ind w:left="4680" w:hanging="360"/>
      </w:pPr>
      <w:rPr>
        <w:rFonts w:ascii="Times New Roman" w:hAnsi="Times New Roman" w:cs="Times New Roman" w:hint="default"/>
      </w:rPr>
    </w:lvl>
    <w:lvl w:ilvl="6" w:tplc="53541C7E">
      <w:start w:val="1"/>
      <w:numFmt w:val="bullet"/>
      <w:lvlText w:val="•"/>
      <w:lvlJc w:val="left"/>
      <w:pPr>
        <w:tabs>
          <w:tab w:val="num" w:pos="5400"/>
        </w:tabs>
        <w:ind w:left="5400" w:hanging="360"/>
      </w:pPr>
      <w:rPr>
        <w:rFonts w:ascii="Times New Roman" w:hAnsi="Times New Roman" w:cs="Times New Roman" w:hint="default"/>
      </w:rPr>
    </w:lvl>
    <w:lvl w:ilvl="7" w:tplc="4D8A1F6E">
      <w:start w:val="1"/>
      <w:numFmt w:val="bullet"/>
      <w:lvlText w:val="•"/>
      <w:lvlJc w:val="left"/>
      <w:pPr>
        <w:tabs>
          <w:tab w:val="num" w:pos="6120"/>
        </w:tabs>
        <w:ind w:left="6120" w:hanging="360"/>
      </w:pPr>
      <w:rPr>
        <w:rFonts w:ascii="Times New Roman" w:hAnsi="Times New Roman" w:cs="Times New Roman" w:hint="default"/>
      </w:rPr>
    </w:lvl>
    <w:lvl w:ilvl="8" w:tplc="46F48452">
      <w:start w:val="1"/>
      <w:numFmt w:val="bullet"/>
      <w:lvlText w:val="•"/>
      <w:lvlJc w:val="left"/>
      <w:pPr>
        <w:tabs>
          <w:tab w:val="num" w:pos="6840"/>
        </w:tabs>
        <w:ind w:left="6840" w:hanging="360"/>
      </w:pPr>
      <w:rPr>
        <w:rFonts w:ascii="Times New Roman" w:hAnsi="Times New Roman" w:cs="Times New Roman" w:hint="default"/>
      </w:rPr>
    </w:lvl>
  </w:abstractNum>
  <w:abstractNum w:abstractNumId="7">
    <w:nsid w:val="46F3148B"/>
    <w:multiLevelType w:val="hybridMultilevel"/>
    <w:tmpl w:val="9E98D48E"/>
    <w:lvl w:ilvl="0" w:tplc="733C528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7931D59"/>
    <w:multiLevelType w:val="hybridMultilevel"/>
    <w:tmpl w:val="1620475C"/>
    <w:lvl w:ilvl="0" w:tplc="FF807A1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4B4F47ED"/>
    <w:multiLevelType w:val="hybridMultilevel"/>
    <w:tmpl w:val="40766620"/>
    <w:lvl w:ilvl="0" w:tplc="08FE6186">
      <w:start w:val="1"/>
      <w:numFmt w:val="bullet"/>
      <w:lvlText w:val="˗"/>
      <w:lvlJc w:val="left"/>
      <w:pPr>
        <w:ind w:left="360" w:hanging="360"/>
      </w:pPr>
      <w:rPr>
        <w:rFonts w:ascii="Courier New" w:hAnsi="Courier New" w:hint="default"/>
      </w:rPr>
    </w:lvl>
    <w:lvl w:ilvl="1" w:tplc="08FE6186">
      <w:start w:val="1"/>
      <w:numFmt w:val="bullet"/>
      <w:lvlText w:val="˗"/>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B651C24"/>
    <w:multiLevelType w:val="hybridMultilevel"/>
    <w:tmpl w:val="ADF89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4644CD9"/>
    <w:multiLevelType w:val="hybridMultilevel"/>
    <w:tmpl w:val="D242A3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56E165F"/>
    <w:multiLevelType w:val="hybridMultilevel"/>
    <w:tmpl w:val="D1821FE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nsid w:val="599A37B0"/>
    <w:multiLevelType w:val="hybridMultilevel"/>
    <w:tmpl w:val="49828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AA41734"/>
    <w:multiLevelType w:val="hybridMultilevel"/>
    <w:tmpl w:val="28FCC8E2"/>
    <w:lvl w:ilvl="0" w:tplc="03263100">
      <w:start w:val="1"/>
      <w:numFmt w:val="decimal"/>
      <w:lvlText w:val="%1)"/>
      <w:lvlJc w:val="left"/>
      <w:pPr>
        <w:ind w:left="644"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5D3CAB"/>
    <w:multiLevelType w:val="hybridMultilevel"/>
    <w:tmpl w:val="702A9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277422C"/>
    <w:multiLevelType w:val="multilevel"/>
    <w:tmpl w:val="D8D04A76"/>
    <w:lvl w:ilvl="0">
      <w:start w:val="1"/>
      <w:numFmt w:val="decimal"/>
      <w:lvlText w:val="%1."/>
      <w:lvlJc w:val="left"/>
      <w:pPr>
        <w:ind w:left="720" w:hanging="360"/>
      </w:pPr>
      <w:rPr>
        <w:rFonts w:hint="default"/>
        <w:b/>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43510F8"/>
    <w:multiLevelType w:val="hybridMultilevel"/>
    <w:tmpl w:val="B1C207A4"/>
    <w:lvl w:ilvl="0" w:tplc="10090001">
      <w:start w:val="1"/>
      <w:numFmt w:val="bullet"/>
      <w:lvlText w:val=""/>
      <w:lvlJc w:val="left"/>
      <w:pPr>
        <w:ind w:left="99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8">
    <w:nsid w:val="667E4B4E"/>
    <w:multiLevelType w:val="multilevel"/>
    <w:tmpl w:val="D8D04A76"/>
    <w:lvl w:ilvl="0">
      <w:start w:val="1"/>
      <w:numFmt w:val="decimal"/>
      <w:lvlText w:val="%1."/>
      <w:lvlJc w:val="left"/>
      <w:pPr>
        <w:ind w:left="720" w:hanging="360"/>
      </w:pPr>
      <w:rPr>
        <w:rFonts w:hint="default"/>
        <w:b/>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A092BCC"/>
    <w:multiLevelType w:val="multilevel"/>
    <w:tmpl w:val="D8D04A76"/>
    <w:lvl w:ilvl="0">
      <w:start w:val="1"/>
      <w:numFmt w:val="decimal"/>
      <w:lvlText w:val="%1."/>
      <w:lvlJc w:val="left"/>
      <w:pPr>
        <w:ind w:left="720" w:hanging="360"/>
      </w:pPr>
      <w:rPr>
        <w:rFonts w:hint="default"/>
        <w:b/>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4B47622"/>
    <w:multiLevelType w:val="hybridMultilevel"/>
    <w:tmpl w:val="A5CC07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9190324"/>
    <w:multiLevelType w:val="hybridMultilevel"/>
    <w:tmpl w:val="C4687F0C"/>
    <w:lvl w:ilvl="0" w:tplc="10090001">
      <w:start w:val="1"/>
      <w:numFmt w:val="bullet"/>
      <w:lvlText w:val=""/>
      <w:lvlJc w:val="left"/>
      <w:pPr>
        <w:ind w:left="360" w:hanging="360"/>
      </w:pPr>
      <w:rPr>
        <w:rFonts w:ascii="Symbol" w:hAnsi="Symbol" w:hint="default"/>
      </w:rPr>
    </w:lvl>
    <w:lvl w:ilvl="1" w:tplc="08FE6186">
      <w:start w:val="1"/>
      <w:numFmt w:val="bullet"/>
      <w:lvlText w:val="˗"/>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19"/>
  </w:num>
  <w:num w:numId="4">
    <w:abstractNumId w:val="6"/>
  </w:num>
  <w:num w:numId="5">
    <w:abstractNumId w:val="7"/>
  </w:num>
  <w:num w:numId="6">
    <w:abstractNumId w:val="4"/>
  </w:num>
  <w:num w:numId="7">
    <w:abstractNumId w:val="1"/>
  </w:num>
  <w:num w:numId="8">
    <w:abstractNumId w:val="11"/>
  </w:num>
  <w:num w:numId="9">
    <w:abstractNumId w:val="21"/>
  </w:num>
  <w:num w:numId="10">
    <w:abstractNumId w:val="18"/>
  </w:num>
  <w:num w:numId="11">
    <w:abstractNumId w:val="16"/>
  </w:num>
  <w:num w:numId="12">
    <w:abstractNumId w:val="5"/>
  </w:num>
  <w:num w:numId="13">
    <w:abstractNumId w:val="8"/>
  </w:num>
  <w:num w:numId="14">
    <w:abstractNumId w:val="9"/>
  </w:num>
  <w:num w:numId="15">
    <w:abstractNumId w:val="14"/>
  </w:num>
  <w:num w:numId="16">
    <w:abstractNumId w:val="15"/>
  </w:num>
  <w:num w:numId="17">
    <w:abstractNumId w:val="12"/>
  </w:num>
  <w:num w:numId="18">
    <w:abstractNumId w:val="0"/>
  </w:num>
  <w:num w:numId="19">
    <w:abstractNumId w:val="3"/>
  </w:num>
  <w:num w:numId="20">
    <w:abstractNumId w:val="10"/>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71"/>
    <w:rsid w:val="00013927"/>
    <w:rsid w:val="0007338C"/>
    <w:rsid w:val="00084581"/>
    <w:rsid w:val="00087870"/>
    <w:rsid w:val="00093F73"/>
    <w:rsid w:val="000A0E49"/>
    <w:rsid w:val="000B1849"/>
    <w:rsid w:val="000F01B0"/>
    <w:rsid w:val="000F7D07"/>
    <w:rsid w:val="001257BA"/>
    <w:rsid w:val="00145FB1"/>
    <w:rsid w:val="00156064"/>
    <w:rsid w:val="00162322"/>
    <w:rsid w:val="00164948"/>
    <w:rsid w:val="00194859"/>
    <w:rsid w:val="001A56A2"/>
    <w:rsid w:val="001C5652"/>
    <w:rsid w:val="001F7B41"/>
    <w:rsid w:val="00203390"/>
    <w:rsid w:val="002235CA"/>
    <w:rsid w:val="002308C1"/>
    <w:rsid w:val="00241E8A"/>
    <w:rsid w:val="0025140B"/>
    <w:rsid w:val="0027324C"/>
    <w:rsid w:val="0028524C"/>
    <w:rsid w:val="002A7548"/>
    <w:rsid w:val="002A7DFA"/>
    <w:rsid w:val="002C1F4F"/>
    <w:rsid w:val="002E40FF"/>
    <w:rsid w:val="002E4AF0"/>
    <w:rsid w:val="00304577"/>
    <w:rsid w:val="0031354F"/>
    <w:rsid w:val="0031373D"/>
    <w:rsid w:val="00325208"/>
    <w:rsid w:val="00341C5E"/>
    <w:rsid w:val="00357708"/>
    <w:rsid w:val="00376470"/>
    <w:rsid w:val="00380ADC"/>
    <w:rsid w:val="003820F1"/>
    <w:rsid w:val="003C2ACC"/>
    <w:rsid w:val="003D30B8"/>
    <w:rsid w:val="003D61D2"/>
    <w:rsid w:val="003E058C"/>
    <w:rsid w:val="00417C23"/>
    <w:rsid w:val="004363F6"/>
    <w:rsid w:val="004446F3"/>
    <w:rsid w:val="00471448"/>
    <w:rsid w:val="00475345"/>
    <w:rsid w:val="004820FF"/>
    <w:rsid w:val="0048337C"/>
    <w:rsid w:val="004B5560"/>
    <w:rsid w:val="004C2771"/>
    <w:rsid w:val="004C6AD8"/>
    <w:rsid w:val="004D54C6"/>
    <w:rsid w:val="004E7EDA"/>
    <w:rsid w:val="00501CCC"/>
    <w:rsid w:val="005067DC"/>
    <w:rsid w:val="00585661"/>
    <w:rsid w:val="00594053"/>
    <w:rsid w:val="005E0760"/>
    <w:rsid w:val="005E3B32"/>
    <w:rsid w:val="005F1CF8"/>
    <w:rsid w:val="006023BB"/>
    <w:rsid w:val="00612B97"/>
    <w:rsid w:val="00615E07"/>
    <w:rsid w:val="00637FF7"/>
    <w:rsid w:val="00640120"/>
    <w:rsid w:val="00642338"/>
    <w:rsid w:val="006471A0"/>
    <w:rsid w:val="006753CC"/>
    <w:rsid w:val="006947C0"/>
    <w:rsid w:val="006953D0"/>
    <w:rsid w:val="006B4198"/>
    <w:rsid w:val="006C49F3"/>
    <w:rsid w:val="0070231A"/>
    <w:rsid w:val="00725C79"/>
    <w:rsid w:val="00736AB9"/>
    <w:rsid w:val="00743919"/>
    <w:rsid w:val="00751A6F"/>
    <w:rsid w:val="00756A34"/>
    <w:rsid w:val="00763325"/>
    <w:rsid w:val="007A2EC6"/>
    <w:rsid w:val="007A7674"/>
    <w:rsid w:val="007D47B3"/>
    <w:rsid w:val="007E083E"/>
    <w:rsid w:val="00814F12"/>
    <w:rsid w:val="00820AE6"/>
    <w:rsid w:val="00831200"/>
    <w:rsid w:val="00863A31"/>
    <w:rsid w:val="00882272"/>
    <w:rsid w:val="008A09C2"/>
    <w:rsid w:val="008C54CA"/>
    <w:rsid w:val="008C65E7"/>
    <w:rsid w:val="008C6FA2"/>
    <w:rsid w:val="008D4E88"/>
    <w:rsid w:val="008E2F2C"/>
    <w:rsid w:val="00920A76"/>
    <w:rsid w:val="00942F95"/>
    <w:rsid w:val="00944114"/>
    <w:rsid w:val="00961BBB"/>
    <w:rsid w:val="0097633D"/>
    <w:rsid w:val="009874A4"/>
    <w:rsid w:val="009A5FA4"/>
    <w:rsid w:val="009B0297"/>
    <w:rsid w:val="009B260F"/>
    <w:rsid w:val="009C0B5B"/>
    <w:rsid w:val="009E4BEF"/>
    <w:rsid w:val="00A20F07"/>
    <w:rsid w:val="00A326E9"/>
    <w:rsid w:val="00A32E67"/>
    <w:rsid w:val="00A80196"/>
    <w:rsid w:val="00A809F4"/>
    <w:rsid w:val="00AA3D7D"/>
    <w:rsid w:val="00AB6020"/>
    <w:rsid w:val="00AC7AA3"/>
    <w:rsid w:val="00AD6FBE"/>
    <w:rsid w:val="00AD7FA8"/>
    <w:rsid w:val="00AE17AA"/>
    <w:rsid w:val="00B0377D"/>
    <w:rsid w:val="00B221F9"/>
    <w:rsid w:val="00B24737"/>
    <w:rsid w:val="00B44117"/>
    <w:rsid w:val="00B57FF7"/>
    <w:rsid w:val="00BC32C5"/>
    <w:rsid w:val="00BC41DB"/>
    <w:rsid w:val="00BE0CD7"/>
    <w:rsid w:val="00BE600F"/>
    <w:rsid w:val="00C366D6"/>
    <w:rsid w:val="00C549B7"/>
    <w:rsid w:val="00C54BB3"/>
    <w:rsid w:val="00C662D7"/>
    <w:rsid w:val="00C92FD8"/>
    <w:rsid w:val="00CA123D"/>
    <w:rsid w:val="00CA4137"/>
    <w:rsid w:val="00CA73E9"/>
    <w:rsid w:val="00CC3BE2"/>
    <w:rsid w:val="00CC55C6"/>
    <w:rsid w:val="00CD5182"/>
    <w:rsid w:val="00CD70A9"/>
    <w:rsid w:val="00CE224A"/>
    <w:rsid w:val="00CE25E8"/>
    <w:rsid w:val="00D04DA9"/>
    <w:rsid w:val="00D62FB1"/>
    <w:rsid w:val="00D851D2"/>
    <w:rsid w:val="00D965B1"/>
    <w:rsid w:val="00DA39B5"/>
    <w:rsid w:val="00DC0DC9"/>
    <w:rsid w:val="00DD59D7"/>
    <w:rsid w:val="00DF0ECF"/>
    <w:rsid w:val="00DF68F3"/>
    <w:rsid w:val="00E13C8D"/>
    <w:rsid w:val="00E275C2"/>
    <w:rsid w:val="00E35DFC"/>
    <w:rsid w:val="00E37B08"/>
    <w:rsid w:val="00E42BE3"/>
    <w:rsid w:val="00E55294"/>
    <w:rsid w:val="00E578E7"/>
    <w:rsid w:val="00E75AED"/>
    <w:rsid w:val="00E9785D"/>
    <w:rsid w:val="00EA55E7"/>
    <w:rsid w:val="00EB7D79"/>
    <w:rsid w:val="00EE1029"/>
    <w:rsid w:val="00EE369E"/>
    <w:rsid w:val="00EE4F33"/>
    <w:rsid w:val="00F013E4"/>
    <w:rsid w:val="00F20055"/>
    <w:rsid w:val="00F243A8"/>
    <w:rsid w:val="00F36BBE"/>
    <w:rsid w:val="00F4132A"/>
    <w:rsid w:val="00F868C3"/>
    <w:rsid w:val="00F9160B"/>
    <w:rsid w:val="00F96EE8"/>
    <w:rsid w:val="00FA7BDA"/>
    <w:rsid w:val="00FB548C"/>
    <w:rsid w:val="00FC757E"/>
    <w:rsid w:val="00FD1A0C"/>
    <w:rsid w:val="00FD1DD1"/>
    <w:rsid w:val="00FE3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71"/>
    <w:pPr>
      <w:spacing w:after="0" w:line="240" w:lineRule="auto"/>
    </w:pPr>
    <w:rPr>
      <w:rFonts w:ascii="Arial" w:eastAsia="Times New Roman" w:hAnsi="Arial"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2771"/>
    <w:pPr>
      <w:tabs>
        <w:tab w:val="center" w:pos="4320"/>
        <w:tab w:val="right" w:pos="8640"/>
      </w:tabs>
    </w:pPr>
  </w:style>
  <w:style w:type="character" w:customStyle="1" w:styleId="FooterChar">
    <w:name w:val="Footer Char"/>
    <w:basedOn w:val="DefaultParagraphFont"/>
    <w:link w:val="Footer"/>
    <w:rsid w:val="004C2771"/>
    <w:rPr>
      <w:rFonts w:ascii="Arial" w:eastAsia="Times New Roman" w:hAnsi="Arial" w:cs="Times New Roman"/>
      <w:sz w:val="24"/>
      <w:szCs w:val="24"/>
      <w:lang w:eastAsia="en-CA"/>
    </w:rPr>
  </w:style>
  <w:style w:type="paragraph" w:styleId="ListParagraph">
    <w:name w:val="List Paragraph"/>
    <w:basedOn w:val="Normal"/>
    <w:uiPriority w:val="34"/>
    <w:qFormat/>
    <w:rsid w:val="004C2771"/>
    <w:pPr>
      <w:ind w:left="720"/>
    </w:pPr>
    <w:rPr>
      <w:rFonts w:ascii="Calibri" w:eastAsia="Calibri" w:hAnsi="Calibri" w:cs="Calibri"/>
      <w:sz w:val="22"/>
      <w:szCs w:val="22"/>
      <w:lang w:eastAsia="en-US"/>
    </w:rPr>
  </w:style>
  <w:style w:type="character" w:styleId="Hyperlink">
    <w:name w:val="Hyperlink"/>
    <w:uiPriority w:val="99"/>
    <w:rsid w:val="004C2771"/>
    <w:rPr>
      <w:rFonts w:cs="Times New Roman"/>
      <w:color w:val="0000FF"/>
      <w:u w:val="single"/>
    </w:rPr>
  </w:style>
  <w:style w:type="paragraph" w:customStyle="1" w:styleId="Default">
    <w:name w:val="Default"/>
    <w:rsid w:val="004C277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4C2771"/>
    <w:pPr>
      <w:tabs>
        <w:tab w:val="center" w:pos="4680"/>
        <w:tab w:val="right" w:pos="9360"/>
      </w:tabs>
    </w:pPr>
  </w:style>
  <w:style w:type="character" w:customStyle="1" w:styleId="HeaderChar">
    <w:name w:val="Header Char"/>
    <w:basedOn w:val="DefaultParagraphFont"/>
    <w:link w:val="Header"/>
    <w:uiPriority w:val="99"/>
    <w:rsid w:val="004C2771"/>
    <w:rPr>
      <w:rFonts w:ascii="Arial" w:eastAsia="Times New Roman" w:hAnsi="Arial" w:cs="Times New Roman"/>
      <w:sz w:val="24"/>
      <w:szCs w:val="24"/>
      <w:lang w:eastAsia="en-CA"/>
    </w:rPr>
  </w:style>
  <w:style w:type="paragraph" w:styleId="BalloonText">
    <w:name w:val="Balloon Text"/>
    <w:basedOn w:val="Normal"/>
    <w:link w:val="BalloonTextChar"/>
    <w:uiPriority w:val="99"/>
    <w:semiHidden/>
    <w:unhideWhenUsed/>
    <w:rsid w:val="002E4AF0"/>
    <w:rPr>
      <w:rFonts w:ascii="Tahoma" w:hAnsi="Tahoma" w:cs="Tahoma"/>
      <w:sz w:val="16"/>
      <w:szCs w:val="16"/>
    </w:rPr>
  </w:style>
  <w:style w:type="character" w:customStyle="1" w:styleId="BalloonTextChar">
    <w:name w:val="Balloon Text Char"/>
    <w:basedOn w:val="DefaultParagraphFont"/>
    <w:link w:val="BalloonText"/>
    <w:uiPriority w:val="99"/>
    <w:semiHidden/>
    <w:rsid w:val="002E4AF0"/>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162322"/>
    <w:rPr>
      <w:sz w:val="16"/>
      <w:szCs w:val="16"/>
    </w:rPr>
  </w:style>
  <w:style w:type="paragraph" w:styleId="CommentText">
    <w:name w:val="annotation text"/>
    <w:basedOn w:val="Normal"/>
    <w:link w:val="CommentTextChar"/>
    <w:uiPriority w:val="99"/>
    <w:semiHidden/>
    <w:unhideWhenUsed/>
    <w:rsid w:val="00162322"/>
    <w:rPr>
      <w:sz w:val="20"/>
      <w:szCs w:val="20"/>
    </w:rPr>
  </w:style>
  <w:style w:type="character" w:customStyle="1" w:styleId="CommentTextChar">
    <w:name w:val="Comment Text Char"/>
    <w:basedOn w:val="DefaultParagraphFont"/>
    <w:link w:val="CommentText"/>
    <w:uiPriority w:val="99"/>
    <w:semiHidden/>
    <w:rsid w:val="00162322"/>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162322"/>
    <w:rPr>
      <w:b/>
      <w:bCs/>
    </w:rPr>
  </w:style>
  <w:style w:type="character" w:customStyle="1" w:styleId="CommentSubjectChar">
    <w:name w:val="Comment Subject Char"/>
    <w:basedOn w:val="CommentTextChar"/>
    <w:link w:val="CommentSubject"/>
    <w:uiPriority w:val="99"/>
    <w:semiHidden/>
    <w:rsid w:val="00162322"/>
    <w:rPr>
      <w:rFonts w:ascii="Arial" w:eastAsia="Times New Roman" w:hAnsi="Arial" w:cs="Times New Roman"/>
      <w:b/>
      <w:bCs/>
      <w:sz w:val="20"/>
      <w:szCs w:val="20"/>
      <w:lang w:eastAsia="en-CA"/>
    </w:rPr>
  </w:style>
  <w:style w:type="paragraph" w:customStyle="1" w:styleId="subsection-e">
    <w:name w:val="subsection-e"/>
    <w:basedOn w:val="Normal"/>
    <w:rsid w:val="00325208"/>
    <w:pPr>
      <w:tabs>
        <w:tab w:val="left" w:pos="0"/>
        <w:tab w:val="left" w:pos="378"/>
      </w:tabs>
      <w:spacing w:line="200" w:lineRule="atLeast"/>
    </w:pPr>
    <w:rPr>
      <w:rFonts w:ascii="Times New Roman" w:hAnsi="Times New Roman"/>
      <w:snapToGrid w:val="0"/>
      <w:sz w:val="26"/>
      <w:szCs w:val="20"/>
      <w:lang w:val="en-GB" w:eastAsia="en-US"/>
    </w:rPr>
  </w:style>
  <w:style w:type="paragraph" w:styleId="NoSpacing">
    <w:name w:val="No Spacing"/>
    <w:uiPriority w:val="1"/>
    <w:qFormat/>
    <w:rsid w:val="00325208"/>
    <w:pPr>
      <w:spacing w:after="0" w:line="240" w:lineRule="auto"/>
    </w:pPr>
  </w:style>
  <w:style w:type="paragraph" w:customStyle="1" w:styleId="section-e">
    <w:name w:val="section-e"/>
    <w:rsid w:val="00325208"/>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paragraph" w:customStyle="1" w:styleId="headnote-e">
    <w:name w:val="headnote-e"/>
    <w:basedOn w:val="Normal"/>
    <w:rsid w:val="00642338"/>
    <w:pPr>
      <w:keepNext/>
      <w:keepLines/>
      <w:tabs>
        <w:tab w:val="left" w:pos="0"/>
      </w:tabs>
      <w:suppressAutoHyphens/>
      <w:spacing w:line="200" w:lineRule="atLeast"/>
    </w:pPr>
    <w:rPr>
      <w:rFonts w:ascii="Times New Roman" w:hAnsi="Times New Roman"/>
      <w:b/>
      <w:snapToGrid w:val="0"/>
      <w:sz w:val="26"/>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71"/>
    <w:pPr>
      <w:spacing w:after="0" w:line="240" w:lineRule="auto"/>
    </w:pPr>
    <w:rPr>
      <w:rFonts w:ascii="Arial" w:eastAsia="Times New Roman" w:hAnsi="Arial"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2771"/>
    <w:pPr>
      <w:tabs>
        <w:tab w:val="center" w:pos="4320"/>
        <w:tab w:val="right" w:pos="8640"/>
      </w:tabs>
    </w:pPr>
  </w:style>
  <w:style w:type="character" w:customStyle="1" w:styleId="FooterChar">
    <w:name w:val="Footer Char"/>
    <w:basedOn w:val="DefaultParagraphFont"/>
    <w:link w:val="Footer"/>
    <w:rsid w:val="004C2771"/>
    <w:rPr>
      <w:rFonts w:ascii="Arial" w:eastAsia="Times New Roman" w:hAnsi="Arial" w:cs="Times New Roman"/>
      <w:sz w:val="24"/>
      <w:szCs w:val="24"/>
      <w:lang w:eastAsia="en-CA"/>
    </w:rPr>
  </w:style>
  <w:style w:type="paragraph" w:styleId="ListParagraph">
    <w:name w:val="List Paragraph"/>
    <w:basedOn w:val="Normal"/>
    <w:uiPriority w:val="34"/>
    <w:qFormat/>
    <w:rsid w:val="004C2771"/>
    <w:pPr>
      <w:ind w:left="720"/>
    </w:pPr>
    <w:rPr>
      <w:rFonts w:ascii="Calibri" w:eastAsia="Calibri" w:hAnsi="Calibri" w:cs="Calibri"/>
      <w:sz w:val="22"/>
      <w:szCs w:val="22"/>
      <w:lang w:eastAsia="en-US"/>
    </w:rPr>
  </w:style>
  <w:style w:type="character" w:styleId="Hyperlink">
    <w:name w:val="Hyperlink"/>
    <w:uiPriority w:val="99"/>
    <w:rsid w:val="004C2771"/>
    <w:rPr>
      <w:rFonts w:cs="Times New Roman"/>
      <w:color w:val="0000FF"/>
      <w:u w:val="single"/>
    </w:rPr>
  </w:style>
  <w:style w:type="paragraph" w:customStyle="1" w:styleId="Default">
    <w:name w:val="Default"/>
    <w:rsid w:val="004C277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4C2771"/>
    <w:pPr>
      <w:tabs>
        <w:tab w:val="center" w:pos="4680"/>
        <w:tab w:val="right" w:pos="9360"/>
      </w:tabs>
    </w:pPr>
  </w:style>
  <w:style w:type="character" w:customStyle="1" w:styleId="HeaderChar">
    <w:name w:val="Header Char"/>
    <w:basedOn w:val="DefaultParagraphFont"/>
    <w:link w:val="Header"/>
    <w:uiPriority w:val="99"/>
    <w:rsid w:val="004C2771"/>
    <w:rPr>
      <w:rFonts w:ascii="Arial" w:eastAsia="Times New Roman" w:hAnsi="Arial" w:cs="Times New Roman"/>
      <w:sz w:val="24"/>
      <w:szCs w:val="24"/>
      <w:lang w:eastAsia="en-CA"/>
    </w:rPr>
  </w:style>
  <w:style w:type="paragraph" w:styleId="BalloonText">
    <w:name w:val="Balloon Text"/>
    <w:basedOn w:val="Normal"/>
    <w:link w:val="BalloonTextChar"/>
    <w:uiPriority w:val="99"/>
    <w:semiHidden/>
    <w:unhideWhenUsed/>
    <w:rsid w:val="002E4AF0"/>
    <w:rPr>
      <w:rFonts w:ascii="Tahoma" w:hAnsi="Tahoma" w:cs="Tahoma"/>
      <w:sz w:val="16"/>
      <w:szCs w:val="16"/>
    </w:rPr>
  </w:style>
  <w:style w:type="character" w:customStyle="1" w:styleId="BalloonTextChar">
    <w:name w:val="Balloon Text Char"/>
    <w:basedOn w:val="DefaultParagraphFont"/>
    <w:link w:val="BalloonText"/>
    <w:uiPriority w:val="99"/>
    <w:semiHidden/>
    <w:rsid w:val="002E4AF0"/>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162322"/>
    <w:rPr>
      <w:sz w:val="16"/>
      <w:szCs w:val="16"/>
    </w:rPr>
  </w:style>
  <w:style w:type="paragraph" w:styleId="CommentText">
    <w:name w:val="annotation text"/>
    <w:basedOn w:val="Normal"/>
    <w:link w:val="CommentTextChar"/>
    <w:uiPriority w:val="99"/>
    <w:semiHidden/>
    <w:unhideWhenUsed/>
    <w:rsid w:val="00162322"/>
    <w:rPr>
      <w:sz w:val="20"/>
      <w:szCs w:val="20"/>
    </w:rPr>
  </w:style>
  <w:style w:type="character" w:customStyle="1" w:styleId="CommentTextChar">
    <w:name w:val="Comment Text Char"/>
    <w:basedOn w:val="DefaultParagraphFont"/>
    <w:link w:val="CommentText"/>
    <w:uiPriority w:val="99"/>
    <w:semiHidden/>
    <w:rsid w:val="00162322"/>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162322"/>
    <w:rPr>
      <w:b/>
      <w:bCs/>
    </w:rPr>
  </w:style>
  <w:style w:type="character" w:customStyle="1" w:styleId="CommentSubjectChar">
    <w:name w:val="Comment Subject Char"/>
    <w:basedOn w:val="CommentTextChar"/>
    <w:link w:val="CommentSubject"/>
    <w:uiPriority w:val="99"/>
    <w:semiHidden/>
    <w:rsid w:val="00162322"/>
    <w:rPr>
      <w:rFonts w:ascii="Arial" w:eastAsia="Times New Roman" w:hAnsi="Arial" w:cs="Times New Roman"/>
      <w:b/>
      <w:bCs/>
      <w:sz w:val="20"/>
      <w:szCs w:val="20"/>
      <w:lang w:eastAsia="en-CA"/>
    </w:rPr>
  </w:style>
  <w:style w:type="paragraph" w:customStyle="1" w:styleId="subsection-e">
    <w:name w:val="subsection-e"/>
    <w:basedOn w:val="Normal"/>
    <w:rsid w:val="00325208"/>
    <w:pPr>
      <w:tabs>
        <w:tab w:val="left" w:pos="0"/>
        <w:tab w:val="left" w:pos="378"/>
      </w:tabs>
      <w:spacing w:line="200" w:lineRule="atLeast"/>
    </w:pPr>
    <w:rPr>
      <w:rFonts w:ascii="Times New Roman" w:hAnsi="Times New Roman"/>
      <w:snapToGrid w:val="0"/>
      <w:sz w:val="26"/>
      <w:szCs w:val="20"/>
      <w:lang w:val="en-GB" w:eastAsia="en-US"/>
    </w:rPr>
  </w:style>
  <w:style w:type="paragraph" w:styleId="NoSpacing">
    <w:name w:val="No Spacing"/>
    <w:uiPriority w:val="1"/>
    <w:qFormat/>
    <w:rsid w:val="00325208"/>
    <w:pPr>
      <w:spacing w:after="0" w:line="240" w:lineRule="auto"/>
    </w:pPr>
  </w:style>
  <w:style w:type="paragraph" w:customStyle="1" w:styleId="section-e">
    <w:name w:val="section-e"/>
    <w:rsid w:val="00325208"/>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paragraph" w:customStyle="1" w:styleId="headnote-e">
    <w:name w:val="headnote-e"/>
    <w:basedOn w:val="Normal"/>
    <w:rsid w:val="00642338"/>
    <w:pPr>
      <w:keepNext/>
      <w:keepLines/>
      <w:tabs>
        <w:tab w:val="left" w:pos="0"/>
      </w:tabs>
      <w:suppressAutoHyphens/>
      <w:spacing w:line="200" w:lineRule="atLeast"/>
    </w:pPr>
    <w:rPr>
      <w:rFonts w:ascii="Times New Roman" w:hAnsi="Times New Roman"/>
      <w:b/>
      <w:snapToGrid w:val="0"/>
      <w:sz w:val="2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55559">
      <w:bodyDiv w:val="1"/>
      <w:marLeft w:val="0"/>
      <w:marRight w:val="0"/>
      <w:marTop w:val="0"/>
      <w:marBottom w:val="0"/>
      <w:divBdr>
        <w:top w:val="none" w:sz="0" w:space="0" w:color="auto"/>
        <w:left w:val="none" w:sz="0" w:space="0" w:color="auto"/>
        <w:bottom w:val="none" w:sz="0" w:space="0" w:color="auto"/>
        <w:right w:val="none" w:sz="0" w:space="0" w:color="auto"/>
      </w:divBdr>
    </w:div>
    <w:div w:id="1351490602">
      <w:bodyDiv w:val="1"/>
      <w:marLeft w:val="0"/>
      <w:marRight w:val="0"/>
      <w:marTop w:val="0"/>
      <w:marBottom w:val="0"/>
      <w:divBdr>
        <w:top w:val="none" w:sz="0" w:space="0" w:color="auto"/>
        <w:left w:val="none" w:sz="0" w:space="0" w:color="auto"/>
        <w:bottom w:val="none" w:sz="0" w:space="0" w:color="auto"/>
        <w:right w:val="none" w:sz="0" w:space="0" w:color="auto"/>
      </w:divBdr>
    </w:div>
    <w:div w:id="21169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towingandstorage@ontario.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owingandstorage@ontario.c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ontariocanada.com/regist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mailto:towingandstorage@ontario.ca"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towingandstorage@ontario.ca" TargetMode="External"/><Relationship Id="rId14" Type="http://schemas.openxmlformats.org/officeDocument/2006/relationships/footer" Target="footer2.xml"/><Relationship Id="rId22" Type="http://schemas.openxmlformats.org/officeDocument/2006/relationships/hyperlink" Target="mailto:Melissa.martin2@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459E-3B6B-4759-A41F-660AA4B9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 Nancy (MCS)</dc:creator>
  <cp:lastModifiedBy>Campbell, Melinda (MGCS)</cp:lastModifiedBy>
  <cp:revision>3</cp:revision>
  <cp:lastPrinted>2015-09-14T21:15:00Z</cp:lastPrinted>
  <dcterms:created xsi:type="dcterms:W3CDTF">2015-09-15T21:04:00Z</dcterms:created>
  <dcterms:modified xsi:type="dcterms:W3CDTF">2015-09-15T21:18:00Z</dcterms:modified>
</cp:coreProperties>
</file>